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cs="微软雅黑"/>
          <w:b/>
          <w:bCs/>
          <w:spacing w:val="-11"/>
          <w:sz w:val="72"/>
          <w:szCs w:val="72"/>
          <w:lang w:val="en-US" w:eastAsia="zh-CN"/>
        </w:rPr>
      </w:pPr>
      <w:bookmarkStart w:id="0" w:name="_Toc2477"/>
    </w:p>
    <w:p>
      <w:pPr>
        <w:jc w:val="center"/>
        <w:rPr>
          <w:rFonts w:hint="eastAsia" w:ascii="仿宋" w:hAnsi="仿宋" w:cs="微软雅黑"/>
          <w:b/>
          <w:bCs/>
          <w:spacing w:val="-11"/>
          <w:sz w:val="72"/>
          <w:szCs w:val="72"/>
          <w:lang w:val="en-US" w:eastAsia="zh-CN"/>
        </w:rPr>
      </w:pPr>
    </w:p>
    <w:p>
      <w:pPr>
        <w:jc w:val="center"/>
        <w:rPr>
          <w:rFonts w:hint="default" w:ascii="仿宋" w:hAnsi="仿宋" w:cs="微软雅黑"/>
          <w:b/>
          <w:bCs/>
          <w:spacing w:val="-11"/>
          <w:sz w:val="72"/>
          <w:szCs w:val="72"/>
          <w:lang w:val="en-US" w:eastAsia="zh-CN"/>
        </w:rPr>
      </w:pPr>
      <w:r>
        <w:rPr>
          <w:rFonts w:hint="eastAsia" w:ascii="仿宋" w:hAnsi="仿宋" w:cs="微软雅黑"/>
          <w:b/>
          <w:bCs/>
          <w:spacing w:val="-11"/>
          <w:sz w:val="72"/>
          <w:szCs w:val="72"/>
          <w:lang w:val="en-US" w:eastAsia="zh-CN"/>
        </w:rPr>
        <w:t>高效办成一件事系统</w:t>
      </w:r>
    </w:p>
    <w:p>
      <w:pPr>
        <w:jc w:val="center"/>
        <w:rPr>
          <w:rFonts w:hint="eastAsia" w:ascii="仿宋" w:hAnsi="仿宋"/>
          <w:b/>
          <w:bCs/>
          <w:sz w:val="56"/>
          <w:szCs w:val="56"/>
          <w:lang w:eastAsia="zh-CN"/>
        </w:rPr>
      </w:pPr>
      <w:bookmarkStart w:id="1" w:name="_Toc28204"/>
      <w:bookmarkStart w:id="2" w:name="_Toc30178"/>
      <w:bookmarkStart w:id="3" w:name="_Toc22410"/>
      <w:bookmarkStart w:id="4" w:name="_Toc17399"/>
      <w:r>
        <w:rPr>
          <w:rFonts w:hint="eastAsia" w:ascii="仿宋" w:hAnsi="仿宋"/>
          <w:b/>
          <w:bCs/>
          <w:sz w:val="56"/>
          <w:szCs w:val="56"/>
          <w:lang w:val="en-US" w:eastAsia="zh-CN"/>
        </w:rPr>
        <w:t>开办药店“</w:t>
      </w:r>
      <w:r>
        <w:rPr>
          <w:rFonts w:hint="eastAsia" w:ascii="仿宋" w:hAnsi="仿宋"/>
          <w:b/>
          <w:bCs/>
          <w:sz w:val="56"/>
          <w:szCs w:val="56"/>
        </w:rPr>
        <w:t>一件事</w:t>
      </w:r>
      <w:bookmarkEnd w:id="1"/>
      <w:bookmarkEnd w:id="2"/>
      <w:r>
        <w:rPr>
          <w:rFonts w:hint="eastAsia" w:ascii="仿宋" w:hAnsi="仿宋"/>
          <w:b/>
          <w:bCs/>
          <w:sz w:val="56"/>
          <w:szCs w:val="56"/>
          <w:lang w:eastAsia="zh-CN"/>
        </w:rPr>
        <w:t>”</w:t>
      </w:r>
    </w:p>
    <w:p>
      <w:pPr>
        <w:jc w:val="both"/>
        <w:rPr>
          <w:rFonts w:hint="eastAsia" w:ascii="仿宋" w:hAnsi="仿宋"/>
          <w:b/>
          <w:bCs/>
          <w:sz w:val="32"/>
          <w:szCs w:val="32"/>
        </w:rPr>
      </w:pPr>
    </w:p>
    <w:p>
      <w:pPr>
        <w:jc w:val="center"/>
        <w:rPr>
          <w:rFonts w:hint="eastAsia" w:ascii="仿宋" w:hAnsi="仿宋"/>
          <w:b/>
          <w:bCs/>
          <w:sz w:val="72"/>
          <w:szCs w:val="72"/>
        </w:rPr>
      </w:pPr>
      <w:r>
        <w:rPr>
          <w:rFonts w:hint="eastAsia" w:ascii="仿宋" w:hAnsi="仿宋"/>
          <w:b/>
          <w:bCs/>
          <w:sz w:val="32"/>
          <w:szCs w:val="32"/>
        </w:rPr>
        <w:br w:type="textWrapping"/>
      </w:r>
      <w:r>
        <w:rPr>
          <w:rFonts w:hint="eastAsia" w:ascii="仿宋" w:hAnsi="仿宋"/>
          <w:b/>
          <w:bCs/>
          <w:sz w:val="72"/>
          <w:szCs w:val="72"/>
        </w:rPr>
        <w:t>操</w:t>
      </w:r>
    </w:p>
    <w:p>
      <w:pPr>
        <w:bidi w:val="0"/>
        <w:jc w:val="center"/>
        <w:rPr>
          <w:rFonts w:hint="eastAsia" w:ascii="仿宋" w:hAnsi="仿宋"/>
          <w:b/>
          <w:bCs/>
          <w:sz w:val="72"/>
          <w:szCs w:val="72"/>
        </w:rPr>
      </w:pPr>
      <w:bookmarkStart w:id="5" w:name="_Toc29969"/>
      <w:bookmarkStart w:id="6" w:name="_Toc597"/>
      <w:r>
        <w:rPr>
          <w:rFonts w:hint="eastAsia" w:ascii="仿宋" w:hAnsi="仿宋"/>
          <w:b/>
          <w:bCs/>
          <w:sz w:val="72"/>
          <w:szCs w:val="72"/>
        </w:rPr>
        <w:t>作</w:t>
      </w:r>
      <w:bookmarkEnd w:id="5"/>
      <w:bookmarkEnd w:id="6"/>
    </w:p>
    <w:p>
      <w:pPr>
        <w:bidi w:val="0"/>
        <w:jc w:val="center"/>
        <w:rPr>
          <w:rFonts w:hint="eastAsia" w:ascii="仿宋" w:hAnsi="仿宋"/>
          <w:b/>
          <w:bCs/>
          <w:sz w:val="72"/>
          <w:szCs w:val="72"/>
        </w:rPr>
      </w:pPr>
      <w:bookmarkStart w:id="7" w:name="_Toc25464"/>
      <w:bookmarkStart w:id="8" w:name="_Toc28708"/>
      <w:r>
        <w:rPr>
          <w:rFonts w:hint="eastAsia" w:ascii="仿宋" w:hAnsi="仿宋"/>
          <w:b/>
          <w:bCs/>
          <w:sz w:val="72"/>
          <w:szCs w:val="72"/>
        </w:rPr>
        <w:t>手</w:t>
      </w:r>
      <w:bookmarkEnd w:id="7"/>
      <w:bookmarkEnd w:id="8"/>
    </w:p>
    <w:p>
      <w:pPr>
        <w:bidi w:val="0"/>
        <w:jc w:val="center"/>
        <w:rPr>
          <w:rFonts w:hint="eastAsia" w:ascii="仿宋" w:hAnsi="仿宋"/>
          <w:b/>
          <w:bCs/>
          <w:sz w:val="72"/>
          <w:szCs w:val="72"/>
        </w:rPr>
      </w:pPr>
      <w:bookmarkStart w:id="9" w:name="_Toc15763"/>
      <w:bookmarkStart w:id="10" w:name="_Toc14668"/>
      <w:r>
        <w:rPr>
          <w:rFonts w:hint="eastAsia" w:ascii="仿宋" w:hAnsi="仿宋"/>
          <w:b/>
          <w:bCs/>
          <w:sz w:val="72"/>
          <w:szCs w:val="72"/>
        </w:rPr>
        <w:t>册</w:t>
      </w:r>
      <w:bookmarkEnd w:id="3"/>
      <w:bookmarkEnd w:id="4"/>
      <w:bookmarkEnd w:id="9"/>
      <w:bookmarkEnd w:id="10"/>
    </w:p>
    <w:p>
      <w:pPr>
        <w:jc w:val="both"/>
        <w:rPr>
          <w:rFonts w:hint="eastAsia" w:ascii="仿宋" w:hAnsi="仿宋"/>
          <w:b/>
          <w:bCs/>
          <w:sz w:val="72"/>
          <w:szCs w:val="72"/>
        </w:rPr>
      </w:pPr>
    </w:p>
    <w:p>
      <w:pPr>
        <w:jc w:val="center"/>
        <w:rPr>
          <w:rFonts w:hint="eastAsia" w:ascii="仿宋" w:hAnsi="仿宋"/>
          <w:b/>
          <w:bCs/>
          <w:sz w:val="72"/>
          <w:szCs w:val="72"/>
        </w:rPr>
      </w:pPr>
    </w:p>
    <w:p>
      <w:pPr>
        <w:jc w:val="center"/>
        <w:rPr>
          <w:rFonts w:ascii="仿宋" w:hAnsi="仿宋"/>
          <w:b/>
          <w:bCs/>
        </w:rPr>
      </w:pPr>
      <w:r>
        <w:rPr>
          <w:rFonts w:hint="eastAsia" w:ascii="仿宋" w:hAnsi="仿宋" w:cs="方正小标宋简体"/>
          <w:b/>
          <w:bCs/>
          <w:spacing w:val="-20"/>
          <w:sz w:val="84"/>
          <w:szCs w:val="8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-2813050</wp:posOffset>
            </wp:positionH>
            <wp:positionV relativeFrom="paragraph">
              <wp:posOffset>470535</wp:posOffset>
            </wp:positionV>
            <wp:extent cx="11678920" cy="8011795"/>
            <wp:effectExtent l="1017905" t="1755775" r="1019175" b="1764030"/>
            <wp:wrapNone/>
            <wp:docPr id="38" name="图片 41" descr="IMG_4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1" descr="IMG_477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2000000">
                      <a:off x="0" y="0"/>
                      <a:ext cx="11678920" cy="801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/>
          <w:b/>
          <w:bCs/>
        </w:rPr>
        <w:t>四川久远银海软件股份有限公司</w:t>
      </w:r>
    </w:p>
    <w:p>
      <w:pPr>
        <w:tabs>
          <w:tab w:val="left" w:pos="1843"/>
        </w:tabs>
        <w:jc w:val="center"/>
        <w:rPr>
          <w:rFonts w:ascii="仿宋" w:hAnsi="仿宋"/>
          <w:b/>
          <w:bCs/>
        </w:rPr>
      </w:pPr>
      <w:r>
        <w:rPr>
          <w:rFonts w:hint="eastAsia" w:ascii="仿宋" w:hAnsi="仿宋"/>
          <w:b/>
          <w:bCs/>
        </w:rPr>
        <w:t>二零二</w:t>
      </w:r>
      <w:r>
        <w:rPr>
          <w:rFonts w:hint="eastAsia" w:ascii="仿宋" w:hAnsi="仿宋"/>
          <w:b/>
          <w:bCs/>
          <w:lang w:val="en-US" w:eastAsia="zh-CN"/>
        </w:rPr>
        <w:t>四</w:t>
      </w:r>
      <w:r>
        <w:rPr>
          <w:rFonts w:hint="eastAsia" w:ascii="仿宋" w:hAnsi="仿宋"/>
          <w:b/>
          <w:bCs/>
        </w:rPr>
        <w:t>年</w:t>
      </w:r>
      <w:r>
        <w:rPr>
          <w:rFonts w:hint="eastAsia" w:ascii="仿宋" w:hAnsi="仿宋"/>
          <w:b/>
          <w:bCs/>
          <w:lang w:val="en-US" w:eastAsia="zh-CN"/>
        </w:rPr>
        <w:t>六</w:t>
      </w:r>
      <w:r>
        <w:rPr>
          <w:rFonts w:hint="eastAsia" w:ascii="仿宋" w:hAnsi="仿宋"/>
          <w:b/>
          <w:bCs/>
        </w:rPr>
        <w:t>月</w:t>
      </w:r>
    </w:p>
    <w:p>
      <w:pPr>
        <w:rPr>
          <w:rFonts w:ascii="仿宋" w:hAnsi="仿宋"/>
        </w:rPr>
      </w:pPr>
    </w:p>
    <w:p>
      <w:pPr>
        <w:rPr>
          <w:rFonts w:ascii="仿宋" w:hAnsi="仿宋"/>
        </w:rPr>
      </w:pPr>
    </w:p>
    <w:p>
      <w:pPr>
        <w:widowControl/>
        <w:spacing w:line="240" w:lineRule="auto"/>
        <w:jc w:val="left"/>
        <w:rPr>
          <w:rFonts w:ascii="仿宋" w:hAnsi="仿宋"/>
        </w:rPr>
      </w:pPr>
    </w:p>
    <w:p>
      <w:pPr>
        <w:pStyle w:val="2"/>
        <w:numPr>
          <w:ilvl w:val="0"/>
          <w:numId w:val="0"/>
        </w:numPr>
        <w:ind w:leftChars="0"/>
        <w:outlineLvl w:val="9"/>
        <w:rPr>
          <w:rFonts w:ascii="仿宋" w:hAnsi="仿宋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="Times New Roman"/>
          <w:kern w:val="2"/>
          <w:sz w:val="40"/>
          <w:szCs w:val="48"/>
          <w:lang w:val="en-US" w:eastAsia="zh-CN" w:bidi="ar-SA"/>
        </w:rPr>
        <w:id w:val="147473713"/>
        <w15:color w:val="DBDBDB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="Times New Roman"/>
          <w:b/>
          <w:bCs/>
          <w:kern w:val="44"/>
          <w:sz w:val="44"/>
          <w:szCs w:val="4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52"/>
              <w:szCs w:val="48"/>
            </w:rPr>
          </w:pPr>
          <w:r>
            <w:rPr>
              <w:rFonts w:ascii="宋体" w:hAnsi="宋体" w:eastAsia="宋体"/>
              <w:sz w:val="40"/>
              <w:szCs w:val="48"/>
            </w:rPr>
            <w:t>目录</w:t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hint="eastAsia" w:ascii="仿宋" w:hAnsi="仿宋"/>
            </w:rPr>
            <w:fldChar w:fldCharType="begin"/>
          </w:r>
          <w:r>
            <w:rPr>
              <w:rFonts w:hint="eastAsia" w:ascii="仿宋" w:hAnsi="仿宋"/>
            </w:rPr>
            <w:instrText xml:space="preserve">TOC \o "1-3" \h \u </w:instrText>
          </w:r>
          <w:r>
            <w:rPr>
              <w:rFonts w:hint="eastAsia" w:ascii="仿宋" w:hAnsi="仿宋"/>
            </w:rPr>
            <w:fldChar w:fldCharType="separate"/>
          </w:r>
          <w:r>
            <w:rPr>
              <w:rFonts w:hint="eastAsia" w:ascii="仿宋" w:hAnsi="仿宋"/>
            </w:rPr>
            <w:fldChar w:fldCharType="begin"/>
          </w:r>
          <w:r>
            <w:rPr>
              <w:rFonts w:hint="eastAsia" w:ascii="仿宋" w:hAnsi="仿宋"/>
            </w:rPr>
            <w:instrText xml:space="preserve"> HYPERLINK \l _Toc26120 </w:instrText>
          </w:r>
          <w:r>
            <w:rPr>
              <w:rFonts w:hint="eastAsia" w:ascii="仿宋" w:hAnsi="仿宋"/>
            </w:rPr>
            <w:fldChar w:fldCharType="separate"/>
          </w:r>
          <w:r>
            <w:rPr>
              <w:rFonts w:hint="eastAsia" w:ascii="仿宋" w:hAnsi="仿宋"/>
            </w:rPr>
            <w:t>第一章 系统登录</w:t>
          </w:r>
          <w:r>
            <w:tab/>
          </w:r>
          <w:r>
            <w:fldChar w:fldCharType="begin"/>
          </w:r>
          <w:r>
            <w:instrText xml:space="preserve"> PAGEREF _Toc26120 \h </w:instrText>
          </w:r>
          <w:r>
            <w:fldChar w:fldCharType="separate"/>
          </w:r>
          <w:r>
            <w:t>- 1 -</w:t>
          </w:r>
          <w:r>
            <w:fldChar w:fldCharType="end"/>
          </w:r>
          <w:r>
            <w:rPr>
              <w:rFonts w:hint="eastAsia" w:ascii="仿宋" w:hAnsi="仿宋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仿宋" w:hAnsi="仿宋"/>
            </w:rPr>
            <w:fldChar w:fldCharType="begin"/>
          </w:r>
          <w:r>
            <w:rPr>
              <w:rFonts w:hint="eastAsia" w:ascii="仿宋" w:hAnsi="仿宋"/>
            </w:rPr>
            <w:instrText xml:space="preserve"> HYPERLINK \l _Toc18272 </w:instrText>
          </w:r>
          <w:r>
            <w:rPr>
              <w:rFonts w:hint="eastAsia" w:ascii="仿宋" w:hAnsi="仿宋"/>
            </w:rPr>
            <w:fldChar w:fldCharType="separate"/>
          </w:r>
          <w:r>
            <w:rPr>
              <w:rFonts w:hint="eastAsia" w:ascii="仿宋" w:hAnsi="仿宋" w:eastAsia="仿宋"/>
            </w:rPr>
            <w:t>1.1 系统地址</w:t>
          </w:r>
          <w:r>
            <w:tab/>
          </w:r>
          <w:r>
            <w:fldChar w:fldCharType="begin"/>
          </w:r>
          <w:r>
            <w:instrText xml:space="preserve"> PAGEREF _Toc18272 \h </w:instrText>
          </w:r>
          <w:r>
            <w:fldChar w:fldCharType="separate"/>
          </w:r>
          <w:r>
            <w:t>- 1 -</w:t>
          </w:r>
          <w:r>
            <w:fldChar w:fldCharType="end"/>
          </w:r>
          <w:r>
            <w:rPr>
              <w:rFonts w:hint="eastAsia" w:ascii="仿宋" w:hAnsi="仿宋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hint="eastAsia" w:ascii="仿宋" w:hAnsi="仿宋"/>
            </w:rPr>
            <w:fldChar w:fldCharType="begin"/>
          </w:r>
          <w:r>
            <w:rPr>
              <w:rFonts w:hint="eastAsia" w:ascii="仿宋" w:hAnsi="仿宋"/>
            </w:rPr>
            <w:instrText xml:space="preserve"> HYPERLINK \l _Toc22053 </w:instrText>
          </w:r>
          <w:r>
            <w:rPr>
              <w:rFonts w:hint="eastAsia" w:ascii="仿宋" w:hAnsi="仿宋"/>
            </w:rPr>
            <w:fldChar w:fldCharType="separate"/>
          </w:r>
          <w:r>
            <w:rPr>
              <w:rFonts w:hint="eastAsia" w:ascii="仿宋" w:hAnsi="仿宋"/>
            </w:rPr>
            <w:t>第二章 在线办理</w:t>
          </w:r>
          <w:r>
            <w:tab/>
          </w:r>
          <w:r>
            <w:fldChar w:fldCharType="begin"/>
          </w:r>
          <w:r>
            <w:instrText xml:space="preserve"> PAGEREF _Toc22053 \h </w:instrText>
          </w:r>
          <w:r>
            <w:fldChar w:fldCharType="separate"/>
          </w:r>
          <w:r>
            <w:t>- 2 -</w:t>
          </w:r>
          <w:r>
            <w:fldChar w:fldCharType="end"/>
          </w:r>
          <w:r>
            <w:rPr>
              <w:rFonts w:hint="eastAsia" w:ascii="仿宋" w:hAnsi="仿宋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仿宋" w:hAnsi="仿宋"/>
            </w:rPr>
            <w:fldChar w:fldCharType="begin"/>
          </w:r>
          <w:r>
            <w:rPr>
              <w:rFonts w:hint="eastAsia" w:ascii="仿宋" w:hAnsi="仿宋"/>
            </w:rPr>
            <w:instrText xml:space="preserve"> HYPERLINK \l _Toc5406 </w:instrText>
          </w:r>
          <w:r>
            <w:rPr>
              <w:rFonts w:hint="eastAsia" w:ascii="仿宋" w:hAnsi="仿宋"/>
            </w:rPr>
            <w:fldChar w:fldCharType="separate"/>
          </w:r>
          <w:r>
            <w:rPr>
              <w:rFonts w:hint="eastAsia" w:ascii="仿宋" w:hAnsi="仿宋" w:eastAsia="仿宋"/>
            </w:rPr>
            <w:t>2.1 系统主页</w:t>
          </w:r>
          <w:r>
            <w:tab/>
          </w:r>
          <w:r>
            <w:fldChar w:fldCharType="begin"/>
          </w:r>
          <w:r>
            <w:instrText xml:space="preserve"> PAGEREF _Toc5406 \h </w:instrText>
          </w:r>
          <w:r>
            <w:fldChar w:fldCharType="separate"/>
          </w:r>
          <w:r>
            <w:t>- 2 -</w:t>
          </w:r>
          <w:r>
            <w:fldChar w:fldCharType="end"/>
          </w:r>
          <w:r>
            <w:rPr>
              <w:rFonts w:hint="eastAsia" w:ascii="仿宋" w:hAnsi="仿宋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仿宋" w:hAnsi="仿宋"/>
            </w:rPr>
            <w:fldChar w:fldCharType="begin"/>
          </w:r>
          <w:r>
            <w:rPr>
              <w:rFonts w:hint="eastAsia" w:ascii="仿宋" w:hAnsi="仿宋"/>
            </w:rPr>
            <w:instrText xml:space="preserve"> HYPERLINK \l _Toc19271 </w:instrText>
          </w:r>
          <w:r>
            <w:rPr>
              <w:rFonts w:hint="eastAsia" w:ascii="仿宋" w:hAnsi="仿宋"/>
            </w:rPr>
            <w:fldChar w:fldCharType="separate"/>
          </w:r>
          <w:r>
            <w:rPr>
              <w:rFonts w:hint="eastAsia" w:ascii="仿宋" w:hAnsi="仿宋" w:eastAsia="仿宋"/>
            </w:rPr>
            <w:t>2.2 “开药店”业务办理</w:t>
          </w:r>
          <w:r>
            <w:tab/>
          </w:r>
          <w:r>
            <w:fldChar w:fldCharType="begin"/>
          </w:r>
          <w:r>
            <w:instrText xml:space="preserve"> PAGEREF _Toc19271 \h </w:instrText>
          </w:r>
          <w:r>
            <w:fldChar w:fldCharType="separate"/>
          </w:r>
          <w:r>
            <w:t>- 2 -</w:t>
          </w:r>
          <w:r>
            <w:fldChar w:fldCharType="end"/>
          </w:r>
          <w:r>
            <w:rPr>
              <w:rFonts w:hint="eastAsia" w:ascii="仿宋" w:hAnsi="仿宋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eastAsia" w:ascii="仿宋" w:hAnsi="仿宋"/>
            </w:rPr>
            <w:fldChar w:fldCharType="begin"/>
          </w:r>
          <w:r>
            <w:rPr>
              <w:rFonts w:hint="eastAsia" w:ascii="仿宋" w:hAnsi="仿宋"/>
            </w:rPr>
            <w:instrText xml:space="preserve"> HYPERLINK \l _Toc28857 </w:instrText>
          </w:r>
          <w:r>
            <w:rPr>
              <w:rFonts w:hint="eastAsia" w:ascii="仿宋" w:hAnsi="仿宋"/>
            </w:rPr>
            <w:fldChar w:fldCharType="separate"/>
          </w:r>
          <w:r>
            <w:rPr>
              <w:rFonts w:hint="eastAsia"/>
            </w:rPr>
            <w:t>2.2.1 “开</w:t>
          </w:r>
          <w:r>
            <w:rPr>
              <w:rFonts w:hint="eastAsia" w:ascii="仿宋" w:hAnsi="仿宋"/>
            </w:rPr>
            <w:t>药店</w:t>
          </w:r>
          <w:r>
            <w:rPr>
              <w:rFonts w:hint="eastAsia"/>
            </w:rPr>
            <w:t>”智能导办</w:t>
          </w:r>
          <w:r>
            <w:tab/>
          </w:r>
          <w:r>
            <w:fldChar w:fldCharType="begin"/>
          </w:r>
          <w:r>
            <w:instrText xml:space="preserve"> PAGEREF _Toc28857 \h </w:instrText>
          </w:r>
          <w:r>
            <w:fldChar w:fldCharType="separate"/>
          </w:r>
          <w:r>
            <w:t>- 2 -</w:t>
          </w:r>
          <w:r>
            <w:fldChar w:fldCharType="end"/>
          </w:r>
          <w:r>
            <w:rPr>
              <w:rFonts w:hint="eastAsia" w:ascii="仿宋" w:hAnsi="仿宋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eastAsia" w:ascii="仿宋" w:hAnsi="仿宋"/>
            </w:rPr>
            <w:fldChar w:fldCharType="begin"/>
          </w:r>
          <w:r>
            <w:rPr>
              <w:rFonts w:hint="eastAsia" w:ascii="仿宋" w:hAnsi="仿宋"/>
            </w:rPr>
            <w:instrText xml:space="preserve"> HYPERLINK \l _Toc1295 </w:instrText>
          </w:r>
          <w:r>
            <w:rPr>
              <w:rFonts w:hint="eastAsia" w:ascii="仿宋" w:hAnsi="仿宋"/>
            </w:rPr>
            <w:fldChar w:fldCharType="separate"/>
          </w:r>
          <w:r>
            <w:rPr>
              <w:rFonts w:hint="eastAsia"/>
            </w:rPr>
            <w:t>2.2.2 “开</w:t>
          </w:r>
          <w:r>
            <w:rPr>
              <w:rFonts w:hint="eastAsia" w:ascii="仿宋" w:hAnsi="仿宋"/>
            </w:rPr>
            <w:t>药店</w:t>
          </w:r>
          <w:r>
            <w:rPr>
              <w:rFonts w:hint="eastAsia"/>
            </w:rPr>
            <w:t>”申请须知</w:t>
          </w:r>
          <w:r>
            <w:tab/>
          </w:r>
          <w:r>
            <w:fldChar w:fldCharType="begin"/>
          </w:r>
          <w:r>
            <w:instrText xml:space="preserve"> PAGEREF _Toc1295 \h </w:instrText>
          </w:r>
          <w:r>
            <w:fldChar w:fldCharType="separate"/>
          </w:r>
          <w:r>
            <w:t>- 6 -</w:t>
          </w:r>
          <w:r>
            <w:fldChar w:fldCharType="end"/>
          </w:r>
          <w:r>
            <w:rPr>
              <w:rFonts w:hint="eastAsia" w:ascii="仿宋" w:hAnsi="仿宋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eastAsia" w:ascii="仿宋" w:hAnsi="仿宋"/>
            </w:rPr>
            <w:fldChar w:fldCharType="begin"/>
          </w:r>
          <w:r>
            <w:rPr>
              <w:rFonts w:hint="eastAsia" w:ascii="仿宋" w:hAnsi="仿宋"/>
            </w:rPr>
            <w:instrText xml:space="preserve"> HYPERLINK \l _Toc25787 </w:instrText>
          </w:r>
          <w:r>
            <w:rPr>
              <w:rFonts w:hint="eastAsia" w:ascii="仿宋" w:hAnsi="仿宋"/>
            </w:rPr>
            <w:fldChar w:fldCharType="separate"/>
          </w:r>
          <w:r>
            <w:rPr>
              <w:rFonts w:hint="eastAsia"/>
            </w:rPr>
            <w:t>2.2.3 “开</w:t>
          </w:r>
          <w:r>
            <w:rPr>
              <w:rFonts w:hint="eastAsia" w:ascii="仿宋" w:hAnsi="仿宋"/>
            </w:rPr>
            <w:t>药店</w:t>
          </w:r>
          <w:r>
            <w:rPr>
              <w:rFonts w:hint="eastAsia"/>
            </w:rPr>
            <w:t>”一表申请</w:t>
          </w:r>
          <w:r>
            <w:tab/>
          </w:r>
          <w:r>
            <w:fldChar w:fldCharType="begin"/>
          </w:r>
          <w:r>
            <w:instrText xml:space="preserve"> PAGEREF _Toc25787 \h </w:instrText>
          </w:r>
          <w:r>
            <w:fldChar w:fldCharType="separate"/>
          </w:r>
          <w:r>
            <w:t>- 10 -</w:t>
          </w:r>
          <w:r>
            <w:fldChar w:fldCharType="end"/>
          </w:r>
          <w:r>
            <w:rPr>
              <w:rFonts w:hint="eastAsia" w:ascii="仿宋" w:hAnsi="仿宋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eastAsia" w:ascii="仿宋" w:hAnsi="仿宋"/>
            </w:rPr>
            <w:fldChar w:fldCharType="begin"/>
          </w:r>
          <w:r>
            <w:rPr>
              <w:rFonts w:hint="eastAsia" w:ascii="仿宋" w:hAnsi="仿宋"/>
            </w:rPr>
            <w:instrText xml:space="preserve"> HYPERLINK \l _Toc12186 </w:instrText>
          </w:r>
          <w:r>
            <w:rPr>
              <w:rFonts w:hint="eastAsia" w:ascii="仿宋" w:hAnsi="仿宋"/>
            </w:rPr>
            <w:fldChar w:fldCharType="separate"/>
          </w:r>
          <w:r>
            <w:rPr>
              <w:rFonts w:hint="eastAsia"/>
            </w:rPr>
            <w:t>2.2.4 “开</w:t>
          </w:r>
          <w:r>
            <w:rPr>
              <w:rFonts w:hint="eastAsia" w:ascii="仿宋" w:hAnsi="仿宋"/>
            </w:rPr>
            <w:t>药店</w:t>
          </w:r>
          <w:r>
            <w:rPr>
              <w:rFonts w:hint="eastAsia"/>
            </w:rPr>
            <w:t>”完成申请</w:t>
          </w:r>
          <w:r>
            <w:tab/>
          </w:r>
          <w:r>
            <w:fldChar w:fldCharType="begin"/>
          </w:r>
          <w:r>
            <w:instrText xml:space="preserve"> PAGEREF _Toc12186 \h </w:instrText>
          </w:r>
          <w:r>
            <w:fldChar w:fldCharType="separate"/>
          </w:r>
          <w:r>
            <w:t>- 26 -</w:t>
          </w:r>
          <w:r>
            <w:fldChar w:fldCharType="end"/>
          </w:r>
          <w:r>
            <w:rPr>
              <w:rFonts w:hint="eastAsia" w:ascii="仿宋" w:hAnsi="仿宋"/>
            </w:rPr>
            <w:fldChar w:fldCharType="end"/>
          </w:r>
        </w:p>
        <w:p>
          <w:pPr>
            <w:pStyle w:val="2"/>
            <w:numPr>
              <w:ilvl w:val="0"/>
              <w:numId w:val="0"/>
            </w:numPr>
            <w:ind w:leftChars="0"/>
            <w:rPr>
              <w:rFonts w:hint="eastAsia" w:ascii="仿宋" w:hAnsi="仿宋"/>
            </w:rPr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eastAsia" w:ascii="仿宋" w:hAnsi="仿宋"/>
            </w:rPr>
            <w:fldChar w:fldCharType="end"/>
          </w:r>
        </w:p>
      </w:sdtContent>
    </w:sdt>
    <w:p>
      <w:pPr>
        <w:pStyle w:val="2"/>
        <w:rPr>
          <w:rFonts w:hint="eastAsia" w:ascii="仿宋" w:hAnsi="仿宋"/>
        </w:rPr>
      </w:pPr>
      <w:bookmarkStart w:id="11" w:name="_Toc26120"/>
      <w:r>
        <w:rPr>
          <w:rFonts w:hint="eastAsia" w:ascii="仿宋" w:hAnsi="仿宋"/>
        </w:rPr>
        <w:t>系统登录</w:t>
      </w:r>
      <w:bookmarkEnd w:id="0"/>
      <w:bookmarkEnd w:id="11"/>
    </w:p>
    <w:p>
      <w:pPr>
        <w:pStyle w:val="3"/>
        <w:spacing w:line="415" w:lineRule="auto"/>
        <w:ind w:left="662" w:hanging="662" w:hangingChars="206"/>
        <w:rPr>
          <w:rFonts w:ascii="仿宋" w:hAnsi="仿宋" w:eastAsia="仿宋"/>
        </w:rPr>
      </w:pPr>
      <w:bookmarkStart w:id="12" w:name="_Toc18272"/>
      <w:bookmarkStart w:id="13" w:name="_Toc32608"/>
      <w:r>
        <w:rPr>
          <w:rFonts w:hint="eastAsia" w:ascii="仿宋" w:hAnsi="仿宋" w:eastAsia="仿宋"/>
        </w:rPr>
        <w:t>系统地址</w:t>
      </w:r>
      <w:bookmarkEnd w:id="12"/>
      <w:bookmarkEnd w:id="13"/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系统网址： </w:t>
      </w:r>
    </w:p>
    <w:p>
      <w:r>
        <w:rPr>
          <w:rFonts w:hint="eastAsia" w:ascii="仿宋" w:hAnsi="仿宋"/>
        </w:rPr>
        <w:t xml:space="preserve"> </w:t>
      </w:r>
      <w:r>
        <w:fldChar w:fldCharType="begin"/>
      </w:r>
      <w:r>
        <w:instrText xml:space="preserve"> HYPERLINK "http://gsxt.ynaic.gov.cn/webportal1/" </w:instrText>
      </w:r>
      <w:r>
        <w:fldChar w:fldCharType="separate"/>
      </w:r>
      <w:r>
        <w:rPr>
          <w:rStyle w:val="13"/>
        </w:rPr>
        <w:t>http://gsxt.ynaic.gov.cn/webportal1/</w:t>
      </w:r>
      <w:r>
        <w:rPr>
          <w:rStyle w:val="13"/>
        </w:rPr>
        <w:fldChar w:fldCharType="end"/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浏览器要求：谷歌浏览器、360浏览器（极速模式）或IE11浏览器。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云南市场监管网上办事大厅，用户（法人）登录：</w:t>
      </w:r>
    </w:p>
    <w:p>
      <w:pPr>
        <w:rPr>
          <w:rFonts w:ascii="仿宋" w:hAnsi="仿宋"/>
        </w:rPr>
      </w:pPr>
      <w:r>
        <w:rPr>
          <w:rFonts w:hint="eastAsia" w:ascii="仿宋" w:hAnsi="仿宋"/>
        </w:rPr>
        <w:drawing>
          <wp:inline distT="0" distB="0" distL="114300" distR="114300">
            <wp:extent cx="1918970" cy="2024380"/>
            <wp:effectExtent l="9525" t="9525" r="14605" b="10795"/>
            <wp:docPr id="5" name="图片 5" descr="535ffbb9b89663b7b6b218dee2c79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35ffbb9b89663b7b6b218dee2c79f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18970" cy="20243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系统窗口，选择开办事项：</w:t>
      </w:r>
    </w:p>
    <w:p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2881630</wp:posOffset>
                </wp:positionH>
                <wp:positionV relativeFrom="paragraph">
                  <wp:posOffset>836295</wp:posOffset>
                </wp:positionV>
                <wp:extent cx="1421130" cy="565785"/>
                <wp:effectExtent l="6350" t="6350" r="83820" b="304165"/>
                <wp:wrapNone/>
                <wp:docPr id="2" name="圆角矩形标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43580" y="7426325"/>
                          <a:ext cx="1421130" cy="565785"/>
                        </a:xfrm>
                        <a:prstGeom prst="wedgeRoundRectCallout">
                          <a:avLst>
                            <a:gd name="adj1" fmla="val 53127"/>
                            <a:gd name="adj2" fmla="val 98933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仿宋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点击立即办理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26.9pt;margin-top:65.85pt;height:44.55pt;width:111.9pt;z-index:251659264;v-text-anchor:middle;mso-width-relative:page;mso-height-relative:page;" filled="f" stroked="t" coordsize="21600,21600" o:gfxdata="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cvgDnNsAAAALAQAADwAAAAAAAAABACAAAAAiAAAAZHJzL2Rvd25y&#10;ZXYueG1sUEsBAhQAFAAAAAgAh07iQO7kGQffAgAAlgUAAA4AAAAAAAAAAQAgAAAAKgEAAGRycy9l&#10;Mm9Eb2MueG1sUEsFBgAAAAAGAAYAWQEAAHsGAAAAAA==&#10;" adj="22275,32170,14400">
                <v:fill on="f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仿宋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点击立即办理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7325" cy="2282825"/>
            <wp:effectExtent l="9525" t="9525" r="19050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82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仿宋" w:hAnsi="仿宋"/>
        </w:rPr>
      </w:pPr>
      <w:bookmarkStart w:id="14" w:name="_Toc22053"/>
      <w:bookmarkStart w:id="15" w:name="_Toc20"/>
      <w:r>
        <w:rPr>
          <w:rFonts w:hint="eastAsia" w:ascii="仿宋" w:hAnsi="仿宋"/>
        </w:rPr>
        <w:t>在线办理</w:t>
      </w:r>
      <w:bookmarkEnd w:id="14"/>
      <w:bookmarkEnd w:id="15"/>
    </w:p>
    <w:p>
      <w:pPr>
        <w:pStyle w:val="3"/>
        <w:rPr>
          <w:rFonts w:ascii="仿宋" w:hAnsi="仿宋" w:eastAsia="仿宋"/>
        </w:rPr>
      </w:pPr>
      <w:bookmarkStart w:id="16" w:name="_Toc5406"/>
      <w:bookmarkStart w:id="17" w:name="_Toc28988"/>
      <w:r>
        <w:rPr>
          <w:rFonts w:hint="eastAsia" w:ascii="仿宋" w:hAnsi="仿宋" w:eastAsia="仿宋"/>
        </w:rPr>
        <w:t>系统主页</w:t>
      </w:r>
      <w:bookmarkEnd w:id="16"/>
      <w:bookmarkEnd w:id="1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登录进入，选择开办区域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drawing>
          <wp:inline distT="0" distB="0" distL="114300" distR="114300">
            <wp:extent cx="5269230" cy="2270125"/>
            <wp:effectExtent l="9525" t="9525" r="17145" b="1905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70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0500" cy="1729105"/>
            <wp:effectExtent l="9525" t="9525" r="15875" b="13970"/>
            <wp:docPr id="3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29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line="415" w:lineRule="auto"/>
        <w:ind w:left="662" w:hanging="662" w:hangingChars="206"/>
        <w:rPr>
          <w:rFonts w:ascii="仿宋" w:hAnsi="仿宋" w:eastAsia="仿宋"/>
        </w:rPr>
      </w:pPr>
      <w:bookmarkStart w:id="18" w:name="_Toc22135"/>
      <w:bookmarkStart w:id="19" w:name="_Toc19271"/>
      <w:bookmarkStart w:id="20" w:name="_Toc18214"/>
      <w:r>
        <w:rPr>
          <w:rFonts w:hint="eastAsia" w:ascii="仿宋" w:hAnsi="仿宋" w:eastAsia="仿宋"/>
        </w:rPr>
        <w:t>“开药店”业务办理</w:t>
      </w:r>
      <w:bookmarkEnd w:id="18"/>
      <w:bookmarkEnd w:id="19"/>
      <w:bookmarkEnd w:id="20"/>
    </w:p>
    <w:p>
      <w:pPr>
        <w:pStyle w:val="4"/>
      </w:pPr>
      <w:bookmarkStart w:id="21" w:name="_Toc8041"/>
      <w:bookmarkStart w:id="22" w:name="_Toc28857"/>
      <w:bookmarkStart w:id="23" w:name="_Toc17746"/>
      <w:r>
        <w:rPr>
          <w:rFonts w:hint="eastAsia"/>
        </w:rPr>
        <w:t>“开</w:t>
      </w:r>
      <w:r>
        <w:rPr>
          <w:rFonts w:hint="eastAsia" w:ascii="仿宋" w:hAnsi="仿宋"/>
        </w:rPr>
        <w:t>药店</w:t>
      </w:r>
      <w:r>
        <w:rPr>
          <w:rFonts w:hint="eastAsia"/>
        </w:rPr>
        <w:t>”智能导办</w:t>
      </w:r>
      <w:bookmarkEnd w:id="21"/>
      <w:bookmarkEnd w:id="22"/>
      <w:bookmarkEnd w:id="2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点击选择的开办区域，进入智能导办选择未取得营业执照，系统则提示用户前往“开办企业一窗通”进行办证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r>
        <w:drawing>
          <wp:inline distT="0" distB="0" distL="114300" distR="114300">
            <wp:extent cx="5265420" cy="1262380"/>
            <wp:effectExtent l="9525" t="9525" r="20955" b="1079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262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1630680"/>
            <wp:effectExtent l="0" t="0" r="1905" b="762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30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已取得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营业执照</w:t>
      </w:r>
      <w:r>
        <w:rPr>
          <w:rFonts w:hint="eastAsia" w:ascii="仿宋_GB2312" w:hAnsi="仿宋_GB2312" w:eastAsia="仿宋_GB2312" w:cs="仿宋_GB2312"/>
          <w:sz w:val="32"/>
          <w:szCs w:val="32"/>
        </w:rPr>
        <w:t>则显示用户选择行业的事项情形，用户按需选择办理事项，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这里</w:t>
      </w:r>
      <w:r>
        <w:rPr>
          <w:rFonts w:hint="eastAsia" w:ascii="仿宋_GB2312" w:hAnsi="仿宋_GB2312" w:eastAsia="仿宋_GB2312" w:cs="仿宋_GB2312"/>
          <w:sz w:val="32"/>
          <w:szCs w:val="32"/>
        </w:rPr>
        <w:t>“是否经营二三类医疗器械”默认为“否”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r>
        <w:drawing>
          <wp:inline distT="0" distB="0" distL="114300" distR="114300">
            <wp:extent cx="5267960" cy="4431030"/>
            <wp:effectExtent l="0" t="0" r="2540" b="1270"/>
            <wp:docPr id="2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4310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若需办理二三类医疗器械，系统则提示用户前往医疗器械生产经营许可（备案）系统进行办理。</w:t>
      </w:r>
    </w:p>
    <w:p>
      <w:r>
        <w:drawing>
          <wp:inline distT="0" distB="0" distL="114300" distR="114300">
            <wp:extent cx="5269230" cy="4068445"/>
            <wp:effectExtent l="9525" t="9525" r="17145" b="1143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684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申请办理药品经营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许可</w:t>
      </w:r>
      <w:r>
        <w:rPr>
          <w:rFonts w:hint="eastAsia" w:ascii="仿宋_GB2312" w:hAnsi="仿宋_GB2312" w:eastAsia="仿宋_GB2312" w:cs="仿宋_GB2312"/>
          <w:sz w:val="32"/>
          <w:szCs w:val="32"/>
        </w:rPr>
        <w:t>：选择“否”或“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t>”都会进行业务办理，区别在于后续要求上传的材料会有差异，系统会提示选择相应的情形（非必选）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r>
        <w:drawing>
          <wp:inline distT="0" distB="0" distL="114300" distR="114300">
            <wp:extent cx="5268595" cy="934085"/>
            <wp:effectExtent l="9525" t="9525" r="17780" b="2159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934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领取许可证件方式及是否委托办理：目前系统支持窗口现场领取；选择委托办理，系统则会在后续流程中采集委托代理人信息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在“智能导办”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</w:t>
      </w:r>
      <w:r>
        <w:rPr>
          <w:rFonts w:hint="eastAsia" w:ascii="仿宋_GB2312" w:hAnsi="仿宋_GB2312" w:eastAsia="仿宋_GB2312" w:cs="仿宋_GB2312"/>
          <w:sz w:val="32"/>
          <w:szCs w:val="32"/>
        </w:rPr>
        <w:t>相应的事项后（示例选择了所有事项以及情形），点击“网上办理”进入“申请须知”，“申请须知”根据用户选择的办理事项提供定向的信息服务。</w:t>
      </w:r>
    </w:p>
    <w:p>
      <w:r>
        <w:drawing>
          <wp:inline distT="0" distB="0" distL="114300" distR="114300">
            <wp:extent cx="5271770" cy="1831340"/>
            <wp:effectExtent l="9525" t="9525" r="14605" b="13335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831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4" w:name="_Toc11676"/>
      <w:bookmarkStart w:id="25" w:name="_Toc17448"/>
      <w:bookmarkStart w:id="26" w:name="_Toc1295"/>
      <w:r>
        <w:rPr>
          <w:rFonts w:hint="eastAsia"/>
        </w:rPr>
        <w:t>“开</w:t>
      </w:r>
      <w:r>
        <w:rPr>
          <w:rFonts w:hint="eastAsia" w:ascii="仿宋" w:hAnsi="仿宋"/>
        </w:rPr>
        <w:t>药店</w:t>
      </w:r>
      <w:r>
        <w:rPr>
          <w:rFonts w:hint="eastAsia"/>
        </w:rPr>
        <w:t>”申请须知</w:t>
      </w:r>
      <w:bookmarkEnd w:id="24"/>
      <w:bookmarkEnd w:id="25"/>
      <w:bookmarkEnd w:id="2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系统通过“事项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基本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信息”、“设定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依据”、“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办理</w:t>
      </w:r>
      <w:r>
        <w:rPr>
          <w:rFonts w:hint="eastAsia" w:ascii="仿宋_GB2312" w:hAnsi="仿宋_GB2312" w:eastAsia="仿宋_GB2312" w:cs="仿宋_GB2312"/>
          <w:sz w:val="32"/>
          <w:szCs w:val="32"/>
        </w:rPr>
        <w:t>条件”、“申请材料”、“线下办事点”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个模块展示“开药店”的基本流程。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左侧为模块信息导航栏，点击不同的模块可以指定到相应的信息进行阅读；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右侧为快捷菜单，点击可查看相应模块。</w:t>
      </w:r>
    </w:p>
    <w:p>
      <w:pPr>
        <w:pStyle w:val="5"/>
        <w:rPr>
          <w:rFonts w:hint="eastAsia"/>
        </w:rPr>
      </w:pPr>
      <w:r>
        <w:rPr>
          <w:rFonts w:hint="eastAsia"/>
        </w:rPr>
        <w:t>事项基本信息</w:t>
      </w:r>
    </w:p>
    <w:p>
      <w:r>
        <w:drawing>
          <wp:inline distT="0" distB="0" distL="114300" distR="114300">
            <wp:extent cx="5273040" cy="3242945"/>
            <wp:effectExtent l="9525" t="9525" r="13335" b="11430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429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5"/>
      </w:pPr>
      <w:bookmarkStart w:id="33" w:name="_GoBack"/>
      <w:bookmarkEnd w:id="33"/>
      <w:r>
        <w:rPr>
          <w:rFonts w:hint="eastAsia"/>
        </w:rPr>
        <w:t>设定</w:t>
      </w:r>
      <w:r>
        <w:rPr>
          <w:rFonts w:hint="eastAsia"/>
          <w:lang w:val="en-US" w:eastAsia="zh-CN"/>
        </w:rPr>
        <w:t>和实施</w:t>
      </w:r>
      <w:r>
        <w:rPr>
          <w:rFonts w:hint="eastAsia"/>
        </w:rPr>
        <w:t>依据</w:t>
      </w:r>
    </w:p>
    <w:p>
      <w:r>
        <w:drawing>
          <wp:inline distT="0" distB="0" distL="114300" distR="114300">
            <wp:extent cx="5269230" cy="1613535"/>
            <wp:effectExtent l="9525" t="9525" r="17145" b="1524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135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5"/>
      </w:pPr>
      <w:r>
        <w:rPr>
          <w:rFonts w:hint="eastAsia"/>
          <w:lang w:val="en-US" w:eastAsia="zh-CN"/>
        </w:rPr>
        <w:t>办</w:t>
      </w:r>
      <w:r>
        <w:rPr>
          <w:rFonts w:hint="eastAsia"/>
        </w:rPr>
        <w:t>理条件</w:t>
      </w:r>
    </w:p>
    <w:p>
      <w:r>
        <w:drawing>
          <wp:inline distT="0" distB="0" distL="114300" distR="114300">
            <wp:extent cx="5266690" cy="2446020"/>
            <wp:effectExtent l="9525" t="9525" r="19685" b="20955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60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/>
    <w:p>
      <w:pPr>
        <w:pStyle w:val="5"/>
      </w:pPr>
      <w:r>
        <w:rPr>
          <w:rFonts w:hint="eastAsia"/>
        </w:rPr>
        <w:t>办理流程</w:t>
      </w:r>
    </w:p>
    <w:p>
      <w:r>
        <w:drawing>
          <wp:inline distT="0" distB="0" distL="114300" distR="114300">
            <wp:extent cx="5268595" cy="2752090"/>
            <wp:effectExtent l="9525" t="9525" r="17780" b="19685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520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5"/>
      </w:pPr>
      <w:r>
        <w:rPr>
          <w:rFonts w:hint="eastAsia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开办药店的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材料，材料上传时需要。</w:t>
      </w:r>
    </w:p>
    <w:p>
      <w:r>
        <w:drawing>
          <wp:inline distT="0" distB="0" distL="114300" distR="114300">
            <wp:extent cx="5262880" cy="2887980"/>
            <wp:effectExtent l="9525" t="9525" r="10795" b="10795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887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5"/>
      </w:pPr>
      <w:r>
        <w:rPr>
          <w:rFonts w:hint="eastAsia"/>
        </w:rPr>
        <w:t>线下办事点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对线上办理有疑问可前往线下办事点进行办理，也可拨打电话进行咨询，根据选择区域，每个地方联系电话不一致。</w:t>
      </w:r>
    </w:p>
    <w:p>
      <w:r>
        <w:drawing>
          <wp:inline distT="0" distB="0" distL="114300" distR="114300">
            <wp:extent cx="5268595" cy="834390"/>
            <wp:effectExtent l="9525" t="9525" r="17780" b="19685"/>
            <wp:docPr id="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343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阅读完“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须知”，知晓并确认相关内容，点击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【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】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进入一表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申请界面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r>
        <w:drawing>
          <wp:inline distT="0" distB="0" distL="114300" distR="114300">
            <wp:extent cx="5269865" cy="2576195"/>
            <wp:effectExtent l="9525" t="9525" r="16510" b="17780"/>
            <wp:docPr id="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76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</w:pPr>
      <w:bookmarkStart w:id="27" w:name="_Toc15167"/>
      <w:bookmarkStart w:id="28" w:name="_Toc25787"/>
      <w:bookmarkStart w:id="29" w:name="_Toc4699"/>
      <w:r>
        <w:rPr>
          <w:rFonts w:hint="eastAsia"/>
        </w:rPr>
        <w:t>“开</w:t>
      </w:r>
      <w:r>
        <w:rPr>
          <w:rFonts w:hint="eastAsia" w:ascii="仿宋" w:hAnsi="仿宋"/>
        </w:rPr>
        <w:t>药店</w:t>
      </w:r>
      <w:r>
        <w:rPr>
          <w:rFonts w:hint="eastAsia"/>
        </w:rPr>
        <w:t>”一表申请</w:t>
      </w:r>
      <w:bookmarkEnd w:id="27"/>
      <w:bookmarkEnd w:id="28"/>
      <w:bookmarkEnd w:id="2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“一表申请”中，系统通过用户所选择的事项采集相应的事项信息，分别可以通过“基本信息”、“药品零售许可”、“预包装食品预案”、“消防安全检查”以及“材料上传”这几个模块进行信息采集。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点击相应的模块则会到相应的模块进行填写信息。填写完一个模块的信息后可以选择点击“暂存”保存信息，以免网络因素及其他干扰因素导致数据填写丢失。</w:t>
      </w:r>
    </w:p>
    <w:p>
      <w:r>
        <w:drawing>
          <wp:inline distT="0" distB="0" distL="114300" distR="114300">
            <wp:extent cx="5267960" cy="3527425"/>
            <wp:effectExtent l="9525" t="9525" r="18415" b="19050"/>
            <wp:docPr id="3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27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5"/>
      </w:pPr>
      <w:r>
        <w:rPr>
          <w:rFonts w:hint="eastAsia"/>
        </w:rPr>
        <w:t>基本信息填写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市场主体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填写：</w:t>
      </w:r>
    </w:p>
    <w:p>
      <w:r>
        <w:drawing>
          <wp:inline distT="0" distB="0" distL="114300" distR="114300">
            <wp:extent cx="5274310" cy="3157855"/>
            <wp:effectExtent l="9525" t="9525" r="12065" b="20320"/>
            <wp:docPr id="44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78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注：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“住所详细地址”根据填写的“住所地址”自动生成；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“经济类型”选择企业或农民专业合作社时，则要求选择“企业类型”；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“房屋权属”选择租赁或无偿使用时，则要求选择“租赁/无偿使用期限”；</w:t>
      </w:r>
    </w:p>
    <w:p>
      <w:pPr>
        <w:numPr>
          <w:ilvl w:val="0"/>
          <w:numId w:val="2"/>
        </w:numPr>
        <w:ind w:left="425" w:leftChars="0" w:hanging="425" w:firstLineChars="0"/>
      </w:pPr>
      <w:r>
        <w:rPr>
          <w:rFonts w:hint="eastAsia"/>
        </w:rPr>
        <w:t>字段前标注（</w:t>
      </w:r>
      <w:r>
        <w:rPr>
          <w:rFonts w:hint="eastAsia"/>
          <w:color w:val="FF0000"/>
        </w:rPr>
        <w:t>*</w:t>
      </w:r>
      <w:r>
        <w:rPr>
          <w:rFonts w:hint="eastAsia"/>
        </w:rPr>
        <w:t>）为必填或者必选。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法定代表人（负责人）信息填写：</w:t>
      </w:r>
    </w:p>
    <w:p>
      <w:r>
        <w:drawing>
          <wp:inline distT="0" distB="0" distL="114300" distR="114300">
            <wp:extent cx="5269865" cy="2389505"/>
            <wp:effectExtent l="9525" t="9525" r="16510" b="13970"/>
            <wp:docPr id="44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图片 24"/>
                    <pic:cNvPicPr>
                      <a:picLocks noChangeAspect="1"/>
                    </pic:cNvPicPr>
                  </pic:nvPicPr>
                  <pic:blipFill>
                    <a:blip r:embed="rId28"/>
                    <a:srcRect b="271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895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</w:rPr>
        <w:t>注：“出生日期”根据填写的“证件号”自动生成</w:t>
      </w:r>
      <w:r>
        <w:rPr>
          <w:rFonts w:hint="eastAsia"/>
          <w:lang w:eastAsia="zh-CN"/>
        </w:rPr>
        <w:t>，</w:t>
      </w:r>
      <w:r>
        <w:rPr>
          <w:rFonts w:hint="eastAsia"/>
        </w:rPr>
        <w:t>字段前标注（</w:t>
      </w:r>
      <w:r>
        <w:rPr>
          <w:rFonts w:hint="eastAsia"/>
          <w:color w:val="FF0000"/>
        </w:rPr>
        <w:t>*</w:t>
      </w:r>
      <w:r>
        <w:rPr>
          <w:rFonts w:hint="eastAsia"/>
        </w:rPr>
        <w:t>）为必填或者必选。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联系人信息填写：</w:t>
      </w:r>
    </w:p>
    <w:p>
      <w:r>
        <w:drawing>
          <wp:inline distT="0" distB="0" distL="114300" distR="114300">
            <wp:extent cx="5271770" cy="1402080"/>
            <wp:effectExtent l="9525" t="9525" r="14605" b="10795"/>
            <wp:docPr id="44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rcRect b="1533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020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注：字段前标注（</w:t>
      </w:r>
      <w:r>
        <w:rPr>
          <w:rFonts w:hint="eastAsia"/>
          <w:color w:val="FF0000"/>
        </w:rPr>
        <w:t>*</w:t>
      </w:r>
      <w:r>
        <w:rPr>
          <w:rFonts w:hint="eastAsia"/>
        </w:rPr>
        <w:t>）为必填或者必选。</w:t>
      </w:r>
    </w:p>
    <w:p/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委托代理人信息填写：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若在“智能督办”内的“是否委托办理”选择否则无需填写。</w:t>
      </w:r>
    </w:p>
    <w:p>
      <w:r>
        <w:drawing>
          <wp:inline distT="0" distB="0" distL="114300" distR="114300">
            <wp:extent cx="5270500" cy="3228340"/>
            <wp:effectExtent l="9525" t="9525" r="15875" b="13335"/>
            <wp:docPr id="44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图片 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28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注：“委托期限”选择自许可提出申请日起至时，则要求选择日期；</w:t>
      </w:r>
    </w:p>
    <w:p>
      <w:pPr>
        <w:rPr>
          <w:rFonts w:hint="eastAsia"/>
        </w:rPr>
      </w:pPr>
      <w:r>
        <w:rPr>
          <w:rFonts w:hint="eastAsia"/>
        </w:rPr>
        <w:t>字段前标注（</w:t>
      </w:r>
      <w:r>
        <w:rPr>
          <w:rFonts w:hint="eastAsia"/>
          <w:color w:val="FF0000"/>
        </w:rPr>
        <w:t>*</w:t>
      </w:r>
      <w:r>
        <w:rPr>
          <w:rFonts w:hint="eastAsia"/>
        </w:rPr>
        <w:t>）为必填或者必选。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填写完成后点击暂存。</w:t>
      </w:r>
    </w:p>
    <w:p>
      <w:r>
        <w:drawing>
          <wp:inline distT="0" distB="0" distL="114300" distR="114300">
            <wp:extent cx="4533900" cy="914400"/>
            <wp:effectExtent l="9525" t="9525" r="15875" b="15875"/>
            <wp:docPr id="2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91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/>
    <w:p>
      <w:pPr>
        <w:pStyle w:val="5"/>
      </w:pPr>
      <w:r>
        <w:rPr>
          <w:rFonts w:hint="eastAsia"/>
        </w:rPr>
        <w:t>药品零售</w:t>
      </w:r>
      <w:r>
        <w:rPr>
          <w:rFonts w:hint="eastAsia"/>
          <w:lang w:val="en-US" w:eastAsia="zh-CN"/>
        </w:rPr>
        <w:t>许可</w:t>
      </w:r>
      <w:r>
        <w:rPr>
          <w:rFonts w:hint="eastAsia"/>
        </w:rPr>
        <w:t>填写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经营情况填写：</w:t>
      </w:r>
    </w:p>
    <w:p>
      <w:r>
        <w:drawing>
          <wp:inline distT="0" distB="0" distL="114300" distR="114300">
            <wp:extent cx="5269865" cy="1835150"/>
            <wp:effectExtent l="9525" t="9525" r="16510" b="9525"/>
            <wp:docPr id="81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" name="图片 10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35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注：“经营范围”为多选，字段前标注（</w:t>
      </w:r>
      <w:r>
        <w:rPr>
          <w:rFonts w:hint="eastAsia"/>
          <w:color w:val="FF0000"/>
        </w:rPr>
        <w:t>*</w:t>
      </w:r>
      <w:r>
        <w:rPr>
          <w:rFonts w:hint="eastAsia"/>
        </w:rPr>
        <w:t>）为必填或者必选。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人员情况填写：</w:t>
      </w:r>
    </w:p>
    <w:p>
      <w:r>
        <w:drawing>
          <wp:inline distT="0" distB="0" distL="114300" distR="114300">
            <wp:extent cx="5274310" cy="3735705"/>
            <wp:effectExtent l="9525" t="9525" r="12065" b="13970"/>
            <wp:docPr id="535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" name="图片 4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5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960" cy="4404360"/>
            <wp:effectExtent l="9525" t="9525" r="18415" b="18415"/>
            <wp:docPr id="536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图片 4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404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注：“是否执业药师”选择为“是”时，“资格证号”、“注册证号”、“有效期始”、“有效期止”有则填写；字段前标注（</w:t>
      </w:r>
      <w:r>
        <w:rPr>
          <w:rFonts w:hint="eastAsia"/>
          <w:color w:val="FF0000"/>
        </w:rPr>
        <w:t>*</w:t>
      </w:r>
      <w:r>
        <w:rPr>
          <w:rFonts w:hint="eastAsia"/>
        </w:rPr>
        <w:t>）为必填或者必选。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其它人员情况填写：</w:t>
      </w:r>
    </w:p>
    <w:p>
      <w:r>
        <w:drawing>
          <wp:inline distT="0" distB="0" distL="114300" distR="114300">
            <wp:extent cx="5269230" cy="4323715"/>
            <wp:effectExtent l="9525" t="9525" r="17145" b="10160"/>
            <wp:docPr id="537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" name="图片 4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23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注：其它人员情况非必填，可添加多条；“是否执业药师”选择为“是”时，“资格证号”、“注册证号”、“有效期始”、“有效期止”有则填写；字段前标注（</w:t>
      </w:r>
      <w:r>
        <w:rPr>
          <w:rFonts w:hint="eastAsia"/>
          <w:color w:val="FF0000"/>
        </w:rPr>
        <w:t>*</w:t>
      </w:r>
      <w:r>
        <w:rPr>
          <w:rFonts w:hint="eastAsia"/>
        </w:rPr>
        <w:t>）为必填或者必选。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其它人员情况信息预览：点击预览可查看填写信息</w:t>
      </w:r>
    </w:p>
    <w:p>
      <w:r>
        <w:drawing>
          <wp:inline distT="0" distB="0" distL="114300" distR="114300">
            <wp:extent cx="5274945" cy="1896745"/>
            <wp:effectExtent l="9525" t="9525" r="11430" b="11430"/>
            <wp:docPr id="538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图片 4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8967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质量管理机构情况信息填写：</w:t>
      </w:r>
    </w:p>
    <w:p>
      <w:r>
        <w:drawing>
          <wp:inline distT="0" distB="0" distL="114300" distR="114300">
            <wp:extent cx="5274945" cy="2348865"/>
            <wp:effectExtent l="9525" t="9525" r="11430" b="16510"/>
            <wp:docPr id="539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图片 4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3488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注：质量管理机构情况非必填，可根据类型，一种类型仅添加一条；</w:t>
      </w:r>
    </w:p>
    <w:p>
      <w:r>
        <w:rPr>
          <w:rFonts w:hint="eastAsia"/>
        </w:rPr>
        <w:t>字段前标注（</w:t>
      </w:r>
      <w:r>
        <w:rPr>
          <w:rFonts w:hint="eastAsia"/>
          <w:color w:val="FF0000"/>
        </w:rPr>
        <w:t>*</w:t>
      </w:r>
      <w:r>
        <w:rPr>
          <w:rFonts w:hint="eastAsia"/>
        </w:rPr>
        <w:t>）为必填或者必选。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质量管理机构情况信息预览：点击预览可查看填写信息</w:t>
      </w:r>
    </w:p>
    <w:p>
      <w:r>
        <w:drawing>
          <wp:inline distT="0" distB="0" distL="114300" distR="114300">
            <wp:extent cx="5267325" cy="2234565"/>
            <wp:effectExtent l="9525" t="9525" r="19050" b="16510"/>
            <wp:docPr id="540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图片 4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345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企业经营场所及办公辅助用房填写：</w:t>
      </w:r>
    </w:p>
    <w:p>
      <w:r>
        <w:drawing>
          <wp:inline distT="0" distB="0" distL="114300" distR="114300">
            <wp:extent cx="5271135" cy="1184275"/>
            <wp:effectExtent l="9525" t="9525" r="15240" b="12700"/>
            <wp:docPr id="541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图片 4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84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注：企业经营场所及办公辅助用房非必填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经营场所、质量管理信息填写：</w:t>
      </w:r>
    </w:p>
    <w:p>
      <w:r>
        <w:drawing>
          <wp:inline distT="0" distB="0" distL="114300" distR="114300">
            <wp:extent cx="5274310" cy="1439545"/>
            <wp:effectExtent l="9525" t="9525" r="12065" b="11430"/>
            <wp:docPr id="542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图片 4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95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040" cy="1979930"/>
            <wp:effectExtent l="9525" t="9525" r="13335" b="17145"/>
            <wp:docPr id="543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图片 4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799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960" cy="956945"/>
            <wp:effectExtent l="9525" t="9525" r="18415" b="11430"/>
            <wp:docPr id="54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图片 5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9569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4945" cy="2393950"/>
            <wp:effectExtent l="9525" t="9525" r="11430" b="9525"/>
            <wp:docPr id="545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图片 5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393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0500" cy="934085"/>
            <wp:effectExtent l="9525" t="9525" r="15875" b="21590"/>
            <wp:docPr id="546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图片 5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34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注：计算机设备信息、企业经营设施设备非必填，可添加多条，填写完成后可预览；字段前标注（</w:t>
      </w:r>
      <w:r>
        <w:rPr>
          <w:rFonts w:hint="eastAsia"/>
          <w:color w:val="FF0000"/>
        </w:rPr>
        <w:t>*</w:t>
      </w:r>
      <w:r>
        <w:rPr>
          <w:rFonts w:hint="eastAsia"/>
        </w:rPr>
        <w:t>）为必填或者必选。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仓库信息填写：</w:t>
      </w:r>
    </w:p>
    <w:p>
      <w:r>
        <w:drawing>
          <wp:inline distT="0" distB="0" distL="114300" distR="114300">
            <wp:extent cx="5266690" cy="1615440"/>
            <wp:effectExtent l="9525" t="9525" r="19685" b="13335"/>
            <wp:docPr id="547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图片 5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154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注：字段前标注（</w:t>
      </w:r>
      <w:r>
        <w:rPr>
          <w:rFonts w:hint="eastAsia"/>
          <w:color w:val="FF0000"/>
        </w:rPr>
        <w:t>*</w:t>
      </w:r>
      <w:r>
        <w:rPr>
          <w:rFonts w:hint="eastAsia"/>
        </w:rPr>
        <w:t>）为必填或者必选。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企业规章制度信息填写：点击添加填写</w:t>
      </w:r>
    </w:p>
    <w:p>
      <w:r>
        <w:drawing>
          <wp:inline distT="0" distB="0" distL="114300" distR="114300">
            <wp:extent cx="5271770" cy="2305685"/>
            <wp:effectExtent l="9525" t="9525" r="14605" b="21590"/>
            <wp:docPr id="548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图片 5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056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注：企业规章制度信息必填，可添加多条；字段前标注（</w:t>
      </w:r>
      <w:r>
        <w:rPr>
          <w:rFonts w:hint="eastAsia"/>
          <w:color w:val="FF0000"/>
        </w:rPr>
        <w:t>*</w:t>
      </w:r>
      <w:r>
        <w:rPr>
          <w:rFonts w:hint="eastAsia"/>
        </w:rPr>
        <w:t>）为必填或者必选。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仓库信息明细若无则可不填写：</w:t>
      </w:r>
    </w:p>
    <w:p>
      <w:r>
        <w:drawing>
          <wp:inline distT="0" distB="0" distL="114300" distR="114300">
            <wp:extent cx="5269865" cy="3386455"/>
            <wp:effectExtent l="9525" t="9525" r="16510" b="20320"/>
            <wp:docPr id="549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图片 5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86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注：仓库信息明细非必填，可添加多条；字段前标注（</w:t>
      </w:r>
      <w:r>
        <w:rPr>
          <w:rFonts w:hint="eastAsia"/>
          <w:color w:val="FF0000"/>
        </w:rPr>
        <w:t>*</w:t>
      </w:r>
      <w:r>
        <w:rPr>
          <w:rFonts w:hint="eastAsia"/>
        </w:rPr>
        <w:t>）为必填或者必选。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填写完成后点击暂存。</w:t>
      </w:r>
    </w:p>
    <w:p>
      <w:r>
        <w:drawing>
          <wp:inline distT="0" distB="0" distL="114300" distR="114300">
            <wp:extent cx="4533900" cy="914400"/>
            <wp:effectExtent l="9525" t="9525" r="15875" b="15875"/>
            <wp:docPr id="2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91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5"/>
      </w:pPr>
      <w:r>
        <w:rPr>
          <w:rFonts w:hint="eastAsia"/>
          <w:lang w:val="en-US" w:eastAsia="zh-CN"/>
        </w:rPr>
        <w:t>预包装</w:t>
      </w:r>
      <w:r>
        <w:rPr>
          <w:rFonts w:hint="eastAsia"/>
        </w:rPr>
        <w:t>食品</w:t>
      </w:r>
      <w:r>
        <w:rPr>
          <w:rFonts w:hint="eastAsia"/>
          <w:lang w:val="en-US" w:eastAsia="zh-CN"/>
        </w:rPr>
        <w:t>备案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食品经营信息填写：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预包装食品填写只有在“智能导办”是否申请办理仅销售预包装食品备案选择“是”才需填写。</w:t>
      </w:r>
    </w:p>
    <w:p>
      <w:r>
        <w:drawing>
          <wp:inline distT="0" distB="0" distL="114300" distR="114300">
            <wp:extent cx="5266690" cy="2483485"/>
            <wp:effectExtent l="9525" t="9525" r="19685" b="21590"/>
            <wp:docPr id="2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83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预包装食品备案填写完成点击暂存。</w:t>
      </w:r>
    </w:p>
    <w:p>
      <w:r>
        <w:drawing>
          <wp:inline distT="0" distB="0" distL="114300" distR="114300">
            <wp:extent cx="4533900" cy="914400"/>
            <wp:effectExtent l="9525" t="9525" r="15875" b="15875"/>
            <wp:docPr id="2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91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5"/>
      </w:pPr>
      <w:r>
        <w:rPr>
          <w:rFonts w:hint="eastAsia"/>
        </w:rPr>
        <w:t>消防安全检查信息填写</w:t>
      </w:r>
    </w:p>
    <w:p>
      <w:r>
        <w:drawing>
          <wp:inline distT="0" distB="0" distL="114300" distR="114300">
            <wp:extent cx="5331460" cy="3875405"/>
            <wp:effectExtent l="9525" t="9525" r="18415" b="13970"/>
            <wp:docPr id="553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图片 6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31460" cy="38754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307330" cy="3923665"/>
            <wp:effectExtent l="9525" t="9525" r="17145" b="16510"/>
            <wp:docPr id="554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图片 62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07330" cy="39236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865" cy="1483360"/>
            <wp:effectExtent l="9525" t="9525" r="16510" b="18415"/>
            <wp:docPr id="555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" name="图片 6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483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t>注：</w:t>
      </w:r>
    </w:p>
    <w:p>
      <w:pPr>
        <w:numPr>
          <w:ilvl w:val="0"/>
          <w:numId w:val="3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勾选所含消防设备时，则要求选择“是否通畅”、“是否完好有效”或“是否符合消防安全要求”；</w:t>
      </w:r>
    </w:p>
    <w:p>
      <w:pPr>
        <w:numPr>
          <w:ilvl w:val="0"/>
          <w:numId w:val="3"/>
        </w:numPr>
        <w:ind w:left="425" w:leftChars="0" w:hanging="425" w:firstLineChars="0"/>
      </w:pPr>
      <w:r>
        <w:rPr>
          <w:rFonts w:hint="eastAsia"/>
        </w:rPr>
        <w:t>字段前标注（</w:t>
      </w:r>
      <w:r>
        <w:rPr>
          <w:rFonts w:hint="eastAsia"/>
          <w:color w:val="FF0000"/>
        </w:rPr>
        <w:t>*</w:t>
      </w:r>
      <w:r>
        <w:rPr>
          <w:rFonts w:hint="eastAsia"/>
        </w:rPr>
        <w:t>）为必填或者必选。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填写完成后点击暂存。</w:t>
      </w:r>
    </w:p>
    <w:p>
      <w:r>
        <w:drawing>
          <wp:inline distT="0" distB="0" distL="114300" distR="114300">
            <wp:extent cx="4533900" cy="914400"/>
            <wp:effectExtent l="9525" t="9525" r="15875" b="15875"/>
            <wp:docPr id="3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91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5"/>
      </w:pPr>
      <w:r>
        <w:rPr>
          <w:rFonts w:hint="eastAsia"/>
          <w:lang w:val="en-US" w:eastAsia="zh-CN"/>
        </w:rPr>
        <w:t>户外招牌设施设置管理须知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户外招牌设施设置管理须知阅读即可。</w:t>
      </w:r>
    </w:p>
    <w:p>
      <w:r>
        <w:drawing>
          <wp:inline distT="0" distB="0" distL="114300" distR="114300">
            <wp:extent cx="5273040" cy="3274060"/>
            <wp:effectExtent l="9525" t="9525" r="13335" b="18415"/>
            <wp:docPr id="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740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5"/>
      </w:pPr>
      <w:r>
        <w:rPr>
          <w:rFonts w:hint="eastAsia"/>
        </w:rPr>
        <w:t>材料上传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切换“材料上传”时，系统会自动暂存所有填写的信息。</w:t>
      </w:r>
    </w:p>
    <w:p>
      <w:r>
        <w:drawing>
          <wp:inline distT="0" distB="0" distL="114300" distR="114300">
            <wp:extent cx="5271135" cy="2597785"/>
            <wp:effectExtent l="9525" t="9525" r="15240" b="21590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977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系统提供一部分材料的模板，需先下载模板进行填写然后上传，或者由系统自动生成后下载再上传，非必要材料可以不用上传，已上传的文件可在线查看并下载打印。</w:t>
      </w:r>
    </w:p>
    <w:p>
      <w:r>
        <w:drawing>
          <wp:inline distT="0" distB="0" distL="114300" distR="114300">
            <wp:extent cx="5274310" cy="4240530"/>
            <wp:effectExtent l="9525" t="9525" r="12065" b="17145"/>
            <wp:docPr id="560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图片 68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05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导出文件：</w:t>
      </w:r>
    </w:p>
    <w:p>
      <w:r>
        <w:drawing>
          <wp:inline distT="0" distB="0" distL="114300" distR="114300">
            <wp:extent cx="5273040" cy="2824480"/>
            <wp:effectExtent l="9525" t="9525" r="13335" b="10795"/>
            <wp:docPr id="561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图片 69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24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文件上传完后可查看上传文件，点击“删除”可删除文件重新上传：</w:t>
      </w:r>
    </w:p>
    <w:p>
      <w:r>
        <w:drawing>
          <wp:inline distT="0" distB="0" distL="114300" distR="114300">
            <wp:extent cx="5271770" cy="4291965"/>
            <wp:effectExtent l="9525" t="9525" r="14605" b="16510"/>
            <wp:docPr id="56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图片 7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2919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770" cy="2181860"/>
            <wp:effectExtent l="9525" t="9525" r="14605" b="18415"/>
            <wp:docPr id="35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818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30" w:name="_Toc12798"/>
      <w:bookmarkStart w:id="31" w:name="_Toc12186"/>
      <w:bookmarkStart w:id="32" w:name="_Toc223"/>
      <w:r>
        <w:rPr>
          <w:rFonts w:hint="eastAsia"/>
        </w:rPr>
        <w:t>“开</w:t>
      </w:r>
      <w:r>
        <w:rPr>
          <w:rFonts w:hint="eastAsia" w:ascii="仿宋" w:hAnsi="仿宋"/>
        </w:rPr>
        <w:t>药店</w:t>
      </w:r>
      <w:r>
        <w:rPr>
          <w:rFonts w:hint="eastAsia"/>
        </w:rPr>
        <w:t>”完成申请</w:t>
      </w:r>
      <w:bookmarkEnd w:id="30"/>
      <w:bookmarkEnd w:id="31"/>
      <w:bookmarkEnd w:id="3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由用户确认信息填写完整后，点击提交，完成申请；若未填写完整，系统则提示“请完善表单”。</w:t>
      </w:r>
    </w:p>
    <w:p>
      <w:pPr>
        <w:jc w:val="center"/>
      </w:pPr>
      <w:r>
        <w:drawing>
          <wp:inline distT="0" distB="0" distL="114300" distR="114300">
            <wp:extent cx="3362325" cy="1123950"/>
            <wp:effectExtent l="9525" t="9525" r="19050" b="9525"/>
            <wp:docPr id="564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图片 7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123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完善后再点击提交，完成申请。</w:t>
      </w:r>
    </w:p>
    <w:p>
      <w:r>
        <w:drawing>
          <wp:inline distT="0" distB="0" distL="114300" distR="114300">
            <wp:extent cx="5271135" cy="1734185"/>
            <wp:effectExtent l="9525" t="9525" r="15240" b="21590"/>
            <wp:docPr id="565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图片 74"/>
                    <pic:cNvPicPr>
                      <a:picLocks noChangeAspect="1"/>
                    </pic:cNvPicPr>
                  </pic:nvPicPr>
                  <pic:blipFill>
                    <a:blip r:embed="rId59"/>
                    <a:srcRect t="336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341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/>
    <w:sectPr>
      <w:footerReference r:id="rId6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2B742D-949D-445B-A9DE-BCBA0FAE449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B516584-DA22-4A60-AC11-1E4956A359EE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09C883E-46E8-4AD4-85C2-D14AACA9380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C29C755-A100-4E7E-B312-4C3EC3CFAEB8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550"/>
        <w:tab w:val="left" w:pos="5818"/>
      </w:tabs>
      <w:ind w:right="260"/>
      <w:jc w:val="right"/>
    </w:pPr>
    <w:r>
      <w:rPr>
        <w:color w:val="8497B0" w:themeColor="text2" w:themeTint="99"/>
        <w:sz w:val="24"/>
        <w:lang w:val="zh-CN"/>
        <w14:textFill>
          <w14:solidFill>
            <w14:schemeClr w14:val="tx2">
              <w14:lumMod w14:val="60000"/>
              <w14:lumOff w14:val="40000"/>
            </w14:schemeClr>
          </w14:solidFill>
        </w14:textFill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550"/>
        <w:tab w:val="left" w:pos="5818"/>
      </w:tabs>
      <w:ind w:right="260"/>
      <w:jc w:val="right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ptGXY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1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ptGX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color w:val="8497B0" w:themeColor="text2" w:themeTint="99"/>
        <w:sz w:val="24"/>
        <w:lang w:val="zh-CN"/>
        <w14:textFill>
          <w14:solidFill>
            <w14:schemeClr w14:val="tx2">
              <w14:lumMod w14:val="60000"/>
              <w14:lumOff w14:val="40000"/>
            </w14:schemeClr>
          </w14:solidFill>
        </w14:textFill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7ADC9E"/>
    <w:multiLevelType w:val="singleLevel"/>
    <w:tmpl w:val="E27ADC9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004B32DD"/>
    <w:multiLevelType w:val="singleLevel"/>
    <w:tmpl w:val="004B32D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68E73729"/>
    <w:multiLevelType w:val="multilevel"/>
    <w:tmpl w:val="68E73729"/>
    <w:lvl w:ilvl="0" w:tentative="0">
      <w:start w:val="1"/>
      <w:numFmt w:val="chineseCountingThousand"/>
      <w:pStyle w:val="2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isLgl/>
      <w:lvlText w:val="%1.%2"/>
      <w:lvlJc w:val="left"/>
      <w:pPr>
        <w:tabs>
          <w:tab w:val="left" w:pos="142"/>
        </w:tabs>
        <w:ind w:left="0" w:firstLine="0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tabs>
          <w:tab w:val="left" w:pos="142"/>
        </w:tabs>
        <w:ind w:left="0" w:firstLine="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0" w:firstLine="0"/>
      </w:pPr>
      <w:rPr>
        <w:rFonts w:hint="eastAsia"/>
        <w:color w:val="000000" w:themeColor="text1"/>
        <w14:textFill>
          <w14:solidFill>
            <w14:schemeClr w14:val="tx1"/>
          </w14:solidFill>
        </w14:textFill>
      </w:rPr>
    </w:lvl>
    <w:lvl w:ilvl="4" w:tentative="0">
      <w:start w:val="1"/>
      <w:numFmt w:val="decimal"/>
      <w:isLgl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57"/>
        </w:tabs>
        <w:ind w:left="0" w:firstLine="0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13"/>
        </w:tabs>
        <w:ind w:left="0" w:firstLine="0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13"/>
        </w:tabs>
        <w:ind w:left="0" w:firstLine="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zZDIzYmUzZTlmODUyZGE3ZGY1YTk2NmY5ZGJjYTgifQ=="/>
  </w:docVars>
  <w:rsids>
    <w:rsidRoot w:val="62EA003E"/>
    <w:rsid w:val="354F6482"/>
    <w:rsid w:val="5985552C"/>
    <w:rsid w:val="62EA003E"/>
    <w:rsid w:val="7A22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autoRedefine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autoRedefine/>
    <w:qFormat/>
    <w:uiPriority w:val="0"/>
    <w:pPr>
      <w:ind w:left="840" w:leftChars="400"/>
    </w:p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uiPriority w:val="0"/>
  </w:style>
  <w:style w:type="paragraph" w:styleId="10">
    <w:name w:val="toc 2"/>
    <w:basedOn w:val="1"/>
    <w:next w:val="1"/>
    <w:autoRedefine/>
    <w:qFormat/>
    <w:uiPriority w:val="0"/>
    <w:pPr>
      <w:ind w:left="420" w:leftChars="200"/>
    </w:pPr>
  </w:style>
  <w:style w:type="character" w:styleId="13">
    <w:name w:val="Hyperlink"/>
    <w:basedOn w:val="12"/>
    <w:autoRedefine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4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5">
    <w:name w:val="WPSOffice手动目录 2"/>
    <w:autoRedefine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6">
    <w:name w:val="WPSOffice手动目录 3"/>
    <w:autoRedefine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2" Type="http://schemas.openxmlformats.org/officeDocument/2006/relationships/fontTable" Target="fontTable.xml"/><Relationship Id="rId61" Type="http://schemas.openxmlformats.org/officeDocument/2006/relationships/numbering" Target="numbering.xml"/><Relationship Id="rId60" Type="http://schemas.openxmlformats.org/officeDocument/2006/relationships/customXml" Target="../customXml/item1.xml"/><Relationship Id="rId6" Type="http://schemas.openxmlformats.org/officeDocument/2006/relationships/footer" Target="footer2.xml"/><Relationship Id="rId59" Type="http://schemas.openxmlformats.org/officeDocument/2006/relationships/image" Target="media/image52.png"/><Relationship Id="rId58" Type="http://schemas.openxmlformats.org/officeDocument/2006/relationships/image" Target="media/image51.png"/><Relationship Id="rId57" Type="http://schemas.openxmlformats.org/officeDocument/2006/relationships/image" Target="media/image50.png"/><Relationship Id="rId56" Type="http://schemas.openxmlformats.org/officeDocument/2006/relationships/image" Target="media/image49.png"/><Relationship Id="rId55" Type="http://schemas.openxmlformats.org/officeDocument/2006/relationships/image" Target="media/image48.png"/><Relationship Id="rId54" Type="http://schemas.openxmlformats.org/officeDocument/2006/relationships/image" Target="media/image47.png"/><Relationship Id="rId53" Type="http://schemas.openxmlformats.org/officeDocument/2006/relationships/image" Target="media/image46.png"/><Relationship Id="rId52" Type="http://schemas.openxmlformats.org/officeDocument/2006/relationships/image" Target="media/image45.png"/><Relationship Id="rId51" Type="http://schemas.openxmlformats.org/officeDocument/2006/relationships/image" Target="media/image44.png"/><Relationship Id="rId50" Type="http://schemas.openxmlformats.org/officeDocument/2006/relationships/image" Target="media/image43.png"/><Relationship Id="rId5" Type="http://schemas.openxmlformats.org/officeDocument/2006/relationships/footer" Target="footer1.xml"/><Relationship Id="rId49" Type="http://schemas.openxmlformats.org/officeDocument/2006/relationships/image" Target="media/image42.png"/><Relationship Id="rId48" Type="http://schemas.openxmlformats.org/officeDocument/2006/relationships/image" Target="media/image41.png"/><Relationship Id="rId47" Type="http://schemas.openxmlformats.org/officeDocument/2006/relationships/image" Target="media/image40.png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2024-06-12T02:58:00Z</dcterms:created>
  <dc:creator>SHI</dc:creator>
  <cp:lastModifiedBy>SHI</cp:lastModifiedBy>
  <dcterms:modified xsi:type="dcterms:W3CDTF">2024-06-12T07:37:06Z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19BFB9B1657643AEB7BAB0311E13A0FF_13</vt:lpwstr>
  </property>
</Properties>
</file>