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87D92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公众聚集场所投入使用、营业前消防安全检查</w:t>
      </w:r>
    </w:p>
    <w:p w14:paraId="024E0F00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《消防安全检查申报表》室内装修材料</w:t>
      </w:r>
    </w:p>
    <w:p w14:paraId="3B2A5EB7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燃烧性能等级填写说明</w:t>
      </w:r>
    </w:p>
    <w:p w14:paraId="5767EF25">
      <w:r>
        <w:drawing>
          <wp:inline distT="0" distB="0" distL="114300" distR="114300">
            <wp:extent cx="5271770" cy="624840"/>
            <wp:effectExtent l="0" t="0" r="1143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9E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装修材料分类及燃烧性能等级划分</w:t>
      </w:r>
    </w:p>
    <w:p w14:paraId="493449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顶棚：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装修材料要求最高。</w:t>
      </w:r>
    </w:p>
    <w:p w14:paraId="057A5E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墙面：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内墙、外墙；涂料、油漆、板材等。</w:t>
      </w:r>
    </w:p>
    <w:p w14:paraId="179994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地面：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地毯、地板。</w:t>
      </w:r>
    </w:p>
    <w:p w14:paraId="78732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隔断：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建筑内部固定的、不到顶的垂直分隔物。</w:t>
      </w:r>
    </w:p>
    <w:p w14:paraId="62361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固定家具：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与建筑结构固定在一起或不易改变位置的家具。如建筑内部的壁橱、壁柜、陈列台、大型货架等。《建筑防火通用规范》实施指南明确固定家具还包括桌椅、沙发、衣柜、柜台、服务台、货架，以及其他家具。</w:t>
      </w:r>
    </w:p>
    <w:p w14:paraId="21231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装饰织物：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满足建筑内部功能需求，由棉、麻、丝、毛等天然纤维及其他合成纤维制作的纺织品，如窗帘、帷幕等。</w:t>
      </w:r>
    </w:p>
    <w:p w14:paraId="043E0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其他装修装饰材料：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指楼梯扶手、挂镜线、踢脚板、窗帘盒、暖气罩等。</w:t>
      </w:r>
    </w:p>
    <w:p w14:paraId="1F116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按照装修材料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燃烧性能分为四级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：A级（不燃材料）、B</w:t>
      </w:r>
      <w:r>
        <w:rPr>
          <w:rFonts w:hint="eastAsia" w:ascii="方正仿宋_GBK" w:hAnsi="方正仿宋_GBK" w:eastAsia="方正仿宋_GBK" w:cs="方正仿宋_GBK"/>
          <w:sz w:val="32"/>
          <w:szCs w:val="32"/>
          <w:vertAlign w:val="subscript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  <w:t>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（难燃材料）、B</w:t>
      </w:r>
      <w:r>
        <w:rPr>
          <w:rFonts w:hint="eastAsia" w:ascii="方正仿宋_GBK" w:hAnsi="方正仿宋_GBK" w:eastAsia="方正仿宋_GBK" w:cs="方正仿宋_GBK"/>
          <w:sz w:val="32"/>
          <w:szCs w:val="32"/>
          <w:vertAlign w:val="subscript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  <w:t>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（可燃材料）、B</w:t>
      </w:r>
      <w:r>
        <w:rPr>
          <w:rFonts w:hint="eastAsia" w:ascii="方正仿宋_GBK" w:hAnsi="方正仿宋_GBK" w:eastAsia="方正仿宋_GBK" w:cs="方正仿宋_GBK"/>
          <w:sz w:val="32"/>
          <w:szCs w:val="32"/>
          <w:vertAlign w:val="subscript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  <w:t>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（易燃材料）</w:t>
      </w:r>
    </w:p>
    <w:p w14:paraId="4468BC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textAlignment w:val="auto"/>
        <w:rPr>
          <w:rFonts w:hint="eastAsia"/>
          <w:lang w:val="en-US" w:eastAsia="zh-CN"/>
        </w:rPr>
      </w:pPr>
    </w:p>
    <w:p w14:paraId="054731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如何判定材料的燃烧性能等级</w:t>
      </w:r>
    </w:p>
    <w:p w14:paraId="658F8C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查阅材料《检验报告》中结论部分可知建筑材料及制品的燃烧性能等级。</w:t>
      </w:r>
    </w:p>
    <w:p w14:paraId="1FB439C3">
      <w:pPr>
        <w:numPr>
          <w:ilvl w:val="0"/>
          <w:numId w:val="0"/>
        </w:num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2D5C43F7">
      <w:pPr>
        <w:numPr>
          <w:ilvl w:val="0"/>
          <w:numId w:val="0"/>
        </w:num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4726940</wp:posOffset>
            </wp:positionH>
            <wp:positionV relativeFrom="paragraph">
              <wp:posOffset>333375</wp:posOffset>
            </wp:positionV>
            <wp:extent cx="3822065" cy="5400040"/>
            <wp:effectExtent l="0" t="0" r="635" b="10160"/>
            <wp:wrapTight wrapText="bothSides">
              <wp:wrapPolygon>
                <wp:start x="0" y="0"/>
                <wp:lineTo x="0" y="21539"/>
                <wp:lineTo x="21532" y="21539"/>
                <wp:lineTo x="21532" y="0"/>
                <wp:lineTo x="0" y="0"/>
              </wp:wrapPolygon>
            </wp:wrapTight>
            <wp:docPr id="5" name="图片 5" descr="阻燃胶合板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阻燃胶合板0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例：</w:t>
      </w:r>
    </w:p>
    <w:p w14:paraId="217AAD4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31750</wp:posOffset>
            </wp:positionV>
            <wp:extent cx="3825875" cy="5400040"/>
            <wp:effectExtent l="0" t="0" r="0" b="0"/>
            <wp:wrapTight wrapText="bothSides">
              <wp:wrapPolygon>
                <wp:start x="0" y="0"/>
                <wp:lineTo x="0" y="21539"/>
                <wp:lineTo x="21510" y="21539"/>
                <wp:lineTo x="21510" y="0"/>
                <wp:lineTo x="0" y="0"/>
              </wp:wrapPolygon>
            </wp:wrapTight>
            <wp:docPr id="4" name="图片 4" descr="阻燃胶合板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阻燃胶合板0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587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8732F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B35B1EE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433B1250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2D6356B1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5D2455EF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245CE3FA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6A646F9C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5986B12E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47E6B5CC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419777BD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28323A12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16FBB4BA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5BE6B8A3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1CC484D8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72DCDD97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1287145</wp:posOffset>
                </wp:positionH>
                <wp:positionV relativeFrom="paragraph">
                  <wp:posOffset>27940</wp:posOffset>
                </wp:positionV>
                <wp:extent cx="2927985" cy="1008380"/>
                <wp:effectExtent l="13970" t="14605" r="17145" b="1841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118860" y="4708525"/>
                          <a:ext cx="2927985" cy="10083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1.35pt;margin-top:2.2pt;height:79.4pt;width:230.55pt;z-index:251661312;v-text-anchor:middle;mso-width-relative:page;mso-height-relative:page;" filled="f" stroked="t" coordsize="21600,21600" o:gfxdata="UEsDBAoAAAAAAIdO4kAAAAAAAAAAAAAAAAAEAAAAZHJzL1BLAwQUAAAACACHTuJAbESdYdcAAAAJ&#10;AQAADwAAAGRycy9kb3ducmV2LnhtbE2PwU7DMBBE70j8g7VIXBC1m1YGhTg9UCFulUhRuW5iN4mI&#10;11HstoGvZznBcTVPs2+KzewHcXZT7AMZWC4UCEdNsD21Bt73L/ePIGJCsjgEcga+XIRNeX1VYG7D&#10;hd7cuUqt4BKKORroUhpzKWPTOY9xEUZHnB3D5DHxObXSTnjhcj/ITCktPfbEHzoc3XPnms/q5A3U&#10;h3H4Pm79x3yoNOHudYe0vTPm9mapnkAkN6c/GH71WR1KdqrDiWwUg4FMZQ+MGlivQXCu9Yqn1Azq&#10;VQayLOT/BeUPUEsDBBQAAAAIAIdO4kAAWkyEeQIAANgEAAAOAAAAZHJzL2Uyb0RvYy54bWytVMtu&#10;EzEU3SPxD5b3dCYhj2nUSRU1CkKqaKWCWDseT8aSX9jOo/wMEjs+op+D+A2OPemDwqILsnDunXt9&#10;rs/xvT47P2hFdsIHaU1NByclJcJw20izqemnj6s3FSUhMtMwZY2o6a0I9Hz++tXZ3s3E0HZWNcIT&#10;gJgw27uadjG6WVEE3gnNwol1wiDYWq9ZhOs3RePZHuhaFcOynBR76xvnLRch4OuyD9Ijon8JoG1b&#10;ycXS8q0WJvaoXigWQSl00gU6z6dtW8HjVdsGEYmqKZjGvKII7HVai/kZm208c53kxyOwlxzhGSfN&#10;pEHRB6gli4xsvfwLSkvubbBtPOFWFz2RrAhYDMpn2tx0zInMBVIH9yB6+H+w/MPu2hPZ1HRCiWEa&#10;F/7r24+fd9/JJGmzd2GGlBt37Y9egJmIHlqv0z8okAN2DwZVNYGqtzUdTctqPBz32opDJBwJw9Ph&#10;9LQaU8KRMSjL6m2V1S8eoZwP8Z2wmiSjph6XlzVlu8sQUR6p9ympsrErqVS+QGXIHiWq8TQVYOjK&#10;Ft0AUzswC2ZDCVMbtDuPPkMGq2STtieg4DfrC+XJjqFJVqsSv3R2lPsjLdVestD1eTnUU9QyYiKU&#10;1DWt0ub73coAJCnYa5astW1uobe3fSMGx1cSsJcsxGvm0XlQELMZr7C0yoKUPVqUdNZ//df3lI+G&#10;QJSSPToZhL9smReUqPcGrXI6GI1S62dnNJ4O4finkfXTiNnqCwsdBngFHM9myo/q3my91Z8xwotU&#10;FSFmOGr30h6di9hPGB4BLhaLnIZ2dyxemhvHE3h/gYtttK3Md/uozlE0NHy+g+Nwpol66uesxwdp&#10;/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sRJ1h1wAAAAkBAAAPAAAAAAAAAAEAIAAAACIAAABk&#10;cnMvZG93bnJldi54bWxQSwECFAAUAAAACACHTuJAAFpMhHkCAADYBAAADgAAAAAAAAABACAAAAAm&#10;AQAAZHJzL2Uyb0RvYy54bWxQSwUGAAAAAAYABgBZAQAAEQYAAAAA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05804E51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37553664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0E86BE50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369B117E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33564EC8">
      <w:pPr>
        <w:numPr>
          <w:ilvl w:val="0"/>
          <w:numId w:val="0"/>
        </w:numPr>
        <w:jc w:val="center"/>
        <w:rPr>
          <w:rFonts w:hint="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ED84671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7338DD93">
      <w:pPr>
        <w:numPr>
          <w:ilvl w:val="0"/>
          <w:numId w:val="0"/>
        </w:numPr>
      </w:pPr>
      <w:r>
        <w:drawing>
          <wp:inline distT="0" distB="0" distL="114300" distR="114300">
            <wp:extent cx="5265420" cy="2493010"/>
            <wp:effectExtent l="0" t="0" r="17780" b="215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FF399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5311775"/>
            <wp:effectExtent l="0" t="0" r="9525" b="222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31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53A8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9848E9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55FB6A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399D329">
      <w:pPr>
        <w:numPr>
          <w:ilvl w:val="0"/>
          <w:numId w:val="1"/>
        </w:numPr>
        <w:bidi w:val="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民用建筑装修材料燃烧性能等级一般要求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689"/>
        <w:gridCol w:w="1134"/>
        <w:gridCol w:w="567"/>
        <w:gridCol w:w="567"/>
        <w:gridCol w:w="567"/>
        <w:gridCol w:w="567"/>
        <w:gridCol w:w="1020"/>
        <w:gridCol w:w="1020"/>
        <w:gridCol w:w="1020"/>
      </w:tblGrid>
      <w:tr w14:paraId="6454A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 w14:paraId="2BBEEEA1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建筑物及场所</w:t>
            </w:r>
          </w:p>
        </w:tc>
        <w:tc>
          <w:tcPr>
            <w:tcW w:w="689" w:type="dxa"/>
            <w:vAlign w:val="center"/>
          </w:tcPr>
          <w:p w14:paraId="23AD9288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平面</w:t>
            </w:r>
          </w:p>
          <w:p w14:paraId="0F93235A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布置</w:t>
            </w:r>
          </w:p>
        </w:tc>
        <w:tc>
          <w:tcPr>
            <w:tcW w:w="1134" w:type="dxa"/>
            <w:vAlign w:val="center"/>
          </w:tcPr>
          <w:p w14:paraId="4786DB1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建筑规模、性质</w:t>
            </w:r>
          </w:p>
        </w:tc>
        <w:tc>
          <w:tcPr>
            <w:tcW w:w="567" w:type="dxa"/>
            <w:vAlign w:val="center"/>
          </w:tcPr>
          <w:p w14:paraId="4DA0F15F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顶棚</w:t>
            </w:r>
          </w:p>
        </w:tc>
        <w:tc>
          <w:tcPr>
            <w:tcW w:w="567" w:type="dxa"/>
            <w:vAlign w:val="center"/>
          </w:tcPr>
          <w:p w14:paraId="0EE87015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墙面</w:t>
            </w:r>
          </w:p>
        </w:tc>
        <w:tc>
          <w:tcPr>
            <w:tcW w:w="567" w:type="dxa"/>
            <w:vAlign w:val="center"/>
          </w:tcPr>
          <w:p w14:paraId="1D9D0050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地面</w:t>
            </w:r>
          </w:p>
        </w:tc>
        <w:tc>
          <w:tcPr>
            <w:tcW w:w="567" w:type="dxa"/>
            <w:vAlign w:val="center"/>
          </w:tcPr>
          <w:p w14:paraId="4678D94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隔断</w:t>
            </w:r>
          </w:p>
        </w:tc>
        <w:tc>
          <w:tcPr>
            <w:tcW w:w="1020" w:type="dxa"/>
            <w:vAlign w:val="center"/>
          </w:tcPr>
          <w:p w14:paraId="4AD5F010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固定</w:t>
            </w:r>
          </w:p>
          <w:p w14:paraId="3E16BC7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家具</w:t>
            </w:r>
          </w:p>
        </w:tc>
        <w:tc>
          <w:tcPr>
            <w:tcW w:w="1020" w:type="dxa"/>
            <w:vAlign w:val="center"/>
          </w:tcPr>
          <w:p w14:paraId="47CA399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装饰</w:t>
            </w:r>
          </w:p>
          <w:p w14:paraId="31480148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织物</w:t>
            </w:r>
          </w:p>
        </w:tc>
        <w:tc>
          <w:tcPr>
            <w:tcW w:w="1020" w:type="dxa"/>
            <w:vAlign w:val="center"/>
          </w:tcPr>
          <w:p w14:paraId="58D49108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vertAlign w:val="baseline"/>
                <w:lang w:val="en-US" w:eastAsia="zh-CN"/>
              </w:rPr>
              <w:t>其他装修装饰材料</w:t>
            </w:r>
          </w:p>
        </w:tc>
      </w:tr>
      <w:tr w14:paraId="7036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center"/>
          </w:tcPr>
          <w:p w14:paraId="089873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商店的营业厅</w:t>
            </w:r>
          </w:p>
        </w:tc>
        <w:tc>
          <w:tcPr>
            <w:tcW w:w="689" w:type="dxa"/>
            <w:vMerge w:val="restart"/>
            <w:vAlign w:val="center"/>
          </w:tcPr>
          <w:p w14:paraId="75BCCF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地上</w:t>
            </w:r>
          </w:p>
        </w:tc>
        <w:tc>
          <w:tcPr>
            <w:tcW w:w="1134" w:type="dxa"/>
            <w:vAlign w:val="center"/>
          </w:tcPr>
          <w:p w14:paraId="6E1367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每层建筑面积＞1500㎡或总建筑面积＞3000㎡</w:t>
            </w:r>
          </w:p>
        </w:tc>
        <w:tc>
          <w:tcPr>
            <w:tcW w:w="567" w:type="dxa"/>
            <w:vAlign w:val="center"/>
          </w:tcPr>
          <w:p w14:paraId="20F61ED9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4827AD9D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7C1386E7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268C5B09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3FA14EC6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0EB5FEE4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5F0FEBAA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（单多）</w:t>
            </w:r>
          </w:p>
          <w:p w14:paraId="51E2C822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subscript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（高层）</w:t>
            </w:r>
          </w:p>
        </w:tc>
      </w:tr>
      <w:tr w14:paraId="4E119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 w14:paraId="4BB6C19C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vMerge w:val="continue"/>
            <w:vAlign w:val="center"/>
          </w:tcPr>
          <w:p w14:paraId="0E92D6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69D577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每层建筑面积≤1500㎡或总建筑面积≤3000㎡</w:t>
            </w:r>
          </w:p>
        </w:tc>
        <w:tc>
          <w:tcPr>
            <w:tcW w:w="567" w:type="dxa"/>
            <w:vAlign w:val="center"/>
          </w:tcPr>
          <w:p w14:paraId="091B5C5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4C0DEB6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2F3C8FF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0746EF0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1E4214DE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（单多）</w:t>
            </w:r>
          </w:p>
          <w:p w14:paraId="2B06EE4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subscript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（高层）</w:t>
            </w:r>
          </w:p>
        </w:tc>
        <w:tc>
          <w:tcPr>
            <w:tcW w:w="1020" w:type="dxa"/>
            <w:vAlign w:val="center"/>
          </w:tcPr>
          <w:p w14:paraId="09851EF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72B2023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18"/>
                <w:szCs w:val="18"/>
                <w:vertAlign w:val="baseline"/>
                <w:lang w:val="en-US" w:eastAsia="zh-CN" w:bidi="ar-SA"/>
              </w:rPr>
              <w:t>—（单多）</w:t>
            </w:r>
          </w:p>
          <w:p w14:paraId="783F0E3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（高层）</w:t>
            </w:r>
          </w:p>
        </w:tc>
      </w:tr>
      <w:tr w14:paraId="272CF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 w14:paraId="343E32CF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vAlign w:val="center"/>
          </w:tcPr>
          <w:p w14:paraId="6C81CCC4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地下</w:t>
            </w:r>
          </w:p>
        </w:tc>
        <w:tc>
          <w:tcPr>
            <w:tcW w:w="1134" w:type="dxa"/>
            <w:vAlign w:val="center"/>
          </w:tcPr>
          <w:p w14:paraId="4BA44B35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—</w:t>
            </w:r>
          </w:p>
        </w:tc>
        <w:tc>
          <w:tcPr>
            <w:tcW w:w="567" w:type="dxa"/>
            <w:vAlign w:val="center"/>
          </w:tcPr>
          <w:p w14:paraId="7E270400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7A083DE3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6BF31DCA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369214E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4F8CC38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40B5D89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57A4162B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</w:tr>
      <w:tr w14:paraId="1095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center"/>
          </w:tcPr>
          <w:p w14:paraId="7AF8A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宾馆、饭店的客房及公共活动用房等</w:t>
            </w:r>
          </w:p>
        </w:tc>
        <w:tc>
          <w:tcPr>
            <w:tcW w:w="689" w:type="dxa"/>
            <w:vMerge w:val="restart"/>
            <w:vAlign w:val="center"/>
          </w:tcPr>
          <w:p w14:paraId="6CF303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地上</w:t>
            </w:r>
          </w:p>
        </w:tc>
        <w:tc>
          <w:tcPr>
            <w:tcW w:w="1134" w:type="dxa"/>
            <w:vAlign w:val="center"/>
          </w:tcPr>
          <w:p w14:paraId="336FD8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设置送回风道（管）的集中空气调节系统</w:t>
            </w:r>
          </w:p>
        </w:tc>
        <w:tc>
          <w:tcPr>
            <w:tcW w:w="567" w:type="dxa"/>
            <w:vAlign w:val="center"/>
          </w:tcPr>
          <w:p w14:paraId="049A2FA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62530E9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33B4EE3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5200A3B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0E7A1F7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 w14:paraId="1DC4B84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（单多、二类建筑）</w:t>
            </w:r>
          </w:p>
          <w:p w14:paraId="56A6D86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subscript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（一类建筑）</w:t>
            </w:r>
          </w:p>
        </w:tc>
        <w:tc>
          <w:tcPr>
            <w:tcW w:w="1020" w:type="dxa"/>
            <w:vAlign w:val="center"/>
          </w:tcPr>
          <w:p w14:paraId="3CC8805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（单多、二类建筑）</w:t>
            </w:r>
          </w:p>
          <w:p w14:paraId="4FB46E1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subscript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（一类建筑）</w:t>
            </w:r>
          </w:p>
        </w:tc>
      </w:tr>
      <w:tr w14:paraId="7E9DB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 w14:paraId="3EB697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vMerge w:val="continue"/>
            <w:vAlign w:val="center"/>
          </w:tcPr>
          <w:p w14:paraId="50308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76C397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无集中空气调节系统</w:t>
            </w:r>
          </w:p>
        </w:tc>
        <w:tc>
          <w:tcPr>
            <w:tcW w:w="567" w:type="dxa"/>
            <w:vAlign w:val="center"/>
          </w:tcPr>
          <w:p w14:paraId="7883FF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3ACD13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748064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00ED5B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 w14:paraId="1FB2FC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 w14:paraId="04299E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 w14:paraId="732BF8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—</w:t>
            </w:r>
          </w:p>
        </w:tc>
      </w:tr>
      <w:tr w14:paraId="2534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 w14:paraId="4C0C948D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vAlign w:val="center"/>
          </w:tcPr>
          <w:p w14:paraId="0F1AB94A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地下</w:t>
            </w:r>
          </w:p>
        </w:tc>
        <w:tc>
          <w:tcPr>
            <w:tcW w:w="1134" w:type="dxa"/>
            <w:vAlign w:val="center"/>
          </w:tcPr>
          <w:p w14:paraId="36ACC7C8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—</w:t>
            </w:r>
          </w:p>
        </w:tc>
        <w:tc>
          <w:tcPr>
            <w:tcW w:w="567" w:type="dxa"/>
            <w:vAlign w:val="center"/>
          </w:tcPr>
          <w:p w14:paraId="3667CA8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470A32C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681F0BC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72682D7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0C214DD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4690510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0B3AC61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</w:tr>
      <w:tr w14:paraId="5E04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52" w:type="dxa"/>
            <w:vMerge w:val="restart"/>
            <w:vAlign w:val="center"/>
          </w:tcPr>
          <w:p w14:paraId="45C8F4F7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歌舞娱乐游艺场所</w:t>
            </w:r>
          </w:p>
        </w:tc>
        <w:tc>
          <w:tcPr>
            <w:tcW w:w="689" w:type="dxa"/>
            <w:vAlign w:val="center"/>
          </w:tcPr>
          <w:p w14:paraId="2D486440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地上</w:t>
            </w:r>
          </w:p>
        </w:tc>
        <w:tc>
          <w:tcPr>
            <w:tcW w:w="1134" w:type="dxa"/>
            <w:vAlign w:val="center"/>
          </w:tcPr>
          <w:p w14:paraId="7AD1E558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—</w:t>
            </w:r>
          </w:p>
        </w:tc>
        <w:tc>
          <w:tcPr>
            <w:tcW w:w="567" w:type="dxa"/>
            <w:vAlign w:val="center"/>
          </w:tcPr>
          <w:p w14:paraId="56E2461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250BEC8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5BEBBBD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5223C6E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58CAB6D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607C8A4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4308B21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</w:tr>
      <w:tr w14:paraId="2A95D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52" w:type="dxa"/>
            <w:vMerge w:val="continue"/>
            <w:vAlign w:val="center"/>
          </w:tcPr>
          <w:p w14:paraId="3D2153FA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vAlign w:val="center"/>
          </w:tcPr>
          <w:p w14:paraId="28A38257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地下</w:t>
            </w:r>
          </w:p>
        </w:tc>
        <w:tc>
          <w:tcPr>
            <w:tcW w:w="1134" w:type="dxa"/>
            <w:vAlign w:val="center"/>
          </w:tcPr>
          <w:p w14:paraId="05D64C30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—</w:t>
            </w:r>
          </w:p>
        </w:tc>
        <w:tc>
          <w:tcPr>
            <w:tcW w:w="567" w:type="dxa"/>
            <w:vAlign w:val="center"/>
          </w:tcPr>
          <w:p w14:paraId="20D2671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5385FF2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A</w:t>
            </w:r>
          </w:p>
        </w:tc>
        <w:tc>
          <w:tcPr>
            <w:tcW w:w="567" w:type="dxa"/>
            <w:vAlign w:val="center"/>
          </w:tcPr>
          <w:p w14:paraId="32AD6E0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4D2D873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706D1F0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014FB07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24640FA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</w:tr>
      <w:tr w14:paraId="3ACA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Merge w:val="restart"/>
            <w:vAlign w:val="center"/>
          </w:tcPr>
          <w:p w14:paraId="739C9F76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餐饮场所</w:t>
            </w:r>
          </w:p>
        </w:tc>
        <w:tc>
          <w:tcPr>
            <w:tcW w:w="689" w:type="dxa"/>
            <w:vAlign w:val="center"/>
          </w:tcPr>
          <w:p w14:paraId="4FFB4EB0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地上</w:t>
            </w:r>
          </w:p>
        </w:tc>
        <w:tc>
          <w:tcPr>
            <w:tcW w:w="1134" w:type="dxa"/>
            <w:vAlign w:val="center"/>
          </w:tcPr>
          <w:p w14:paraId="222FBB19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  <w:vertAlign w:val="baseline"/>
                <w:lang w:val="en-US" w:eastAsia="zh-CN"/>
              </w:rPr>
              <w:t>建筑面积＞100㎡</w:t>
            </w:r>
          </w:p>
        </w:tc>
        <w:tc>
          <w:tcPr>
            <w:tcW w:w="567" w:type="dxa"/>
            <w:vAlign w:val="center"/>
          </w:tcPr>
          <w:p w14:paraId="3423BED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6B8C7C2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7555F9F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782542D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58EA4D5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 w14:paraId="72CB4A4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4D5165D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</w:tr>
      <w:tr w14:paraId="107C2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 w14:paraId="5E4318C9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vAlign w:val="center"/>
          </w:tcPr>
          <w:p w14:paraId="0F903BD9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地下</w:t>
            </w:r>
          </w:p>
        </w:tc>
        <w:tc>
          <w:tcPr>
            <w:tcW w:w="1134" w:type="dxa"/>
            <w:vAlign w:val="center"/>
          </w:tcPr>
          <w:p w14:paraId="79B1CB3D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—</w:t>
            </w:r>
          </w:p>
        </w:tc>
        <w:tc>
          <w:tcPr>
            <w:tcW w:w="567" w:type="dxa"/>
            <w:vAlign w:val="center"/>
          </w:tcPr>
          <w:p w14:paraId="0E64741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54E6AB5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1DC4437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A</w:t>
            </w:r>
          </w:p>
        </w:tc>
        <w:tc>
          <w:tcPr>
            <w:tcW w:w="567" w:type="dxa"/>
            <w:vAlign w:val="center"/>
          </w:tcPr>
          <w:p w14:paraId="04A02DD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7AF5DF9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0A9F14C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067CF15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B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</w:tr>
    </w:tbl>
    <w:p w14:paraId="22FD24D4">
      <w:pPr>
        <w:numPr>
          <w:ilvl w:val="0"/>
          <w:numId w:val="0"/>
        </w:numPr>
        <w:ind w:leftChars="0"/>
        <w:rPr>
          <w:rFonts w:hint="default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备注：</w:t>
      </w:r>
      <w:r>
        <w:rPr>
          <w:rFonts w:hint="eastAsia" w:ascii="方正仿宋_GBK" w:hAnsi="方正仿宋_GBK" w:eastAsia="方正仿宋_GBK" w:cs="方正仿宋_GBK"/>
          <w:sz w:val="18"/>
          <w:szCs w:val="18"/>
          <w:lang w:val="en-US" w:eastAsia="zh-CN"/>
        </w:rPr>
        <w:t>上表仅列举了常见场所的装修材料燃烧性能要求，对于建筑内的特别场所、允许放宽设置条件的情形详见《建筑防火通用规范》GB55037-2022及《建筑内部装修设计防火规范》GB50222-2017中具体规定。</w:t>
      </w:r>
    </w:p>
    <w:p w14:paraId="6D372823">
      <w:pPr>
        <w:rPr>
          <w:rFonts w:hint="eastAsia"/>
          <w:lang w:val="en-US" w:eastAsia="zh-CN"/>
        </w:rPr>
      </w:pPr>
    </w:p>
    <w:p w14:paraId="1EBFC69A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BF534D"/>
    <w:multiLevelType w:val="singleLevel"/>
    <w:tmpl w:val="7FBF534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iOWI3Y2IyNzYxY2E0Njc4OWE0ODdkNzQxY2UyMTgifQ=="/>
  </w:docVars>
  <w:rsids>
    <w:rsidRoot w:val="7FBF28FE"/>
    <w:rsid w:val="0C16569A"/>
    <w:rsid w:val="106C2EAA"/>
    <w:rsid w:val="3AE065C6"/>
    <w:rsid w:val="4B6B53F2"/>
    <w:rsid w:val="4B855C1D"/>
    <w:rsid w:val="55CD4FBE"/>
    <w:rsid w:val="5CD96805"/>
    <w:rsid w:val="5F5F1EDD"/>
    <w:rsid w:val="61F07C7B"/>
    <w:rsid w:val="6B616DA3"/>
    <w:rsid w:val="7EFE6349"/>
    <w:rsid w:val="7FBF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795</Words>
  <Characters>893</Characters>
  <Lines>0</Lines>
  <Paragraphs>0</Paragraphs>
  <TotalTime>2</TotalTime>
  <ScaleCrop>false</ScaleCrop>
  <LinksUpToDate>false</LinksUpToDate>
  <CharactersWithSpaces>893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2024-07-25T21:22:00Z</dcterms:created>
  <dc:creator>木子林夕</dc:creator>
  <cp:lastModifiedBy>Acer</cp:lastModifiedBy>
  <dcterms:modified xsi:type="dcterms:W3CDTF">2024-07-26T01:38:54Z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C0447ECDE64F722E8F51A2660EB17CAA_41</vt:lpwstr>
  </property>
</Properties>
</file>