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782E5">
      <w:pPr>
        <w:pStyle w:val="4"/>
        <w:keepNext w:val="0"/>
        <w:keepLines w:val="0"/>
        <w:widowControl/>
        <w:suppressLineNumbers w:val="0"/>
        <w:spacing w:before="0" w:beforeAutospacing="0" w:after="0" w:afterAutospacing="0"/>
        <w:ind w:left="0" w:right="0" w:firstLine="0"/>
        <w:jc w:val="center"/>
        <w:rPr>
          <w:rFonts w:hint="eastAsia" w:asciiTheme="majorEastAsia" w:hAnsiTheme="majorEastAsia" w:eastAsiaTheme="majorEastAsia" w:cstheme="majorEastAsia"/>
          <w:i w:val="0"/>
          <w:iCs w:val="0"/>
          <w:caps w:val="0"/>
          <w:color w:val="000000"/>
          <w:spacing w:val="0"/>
          <w:sz w:val="21"/>
          <w:szCs w:val="21"/>
        </w:rPr>
      </w:pPr>
      <w:r>
        <w:rPr>
          <w:rFonts w:hint="eastAsia" w:asciiTheme="majorEastAsia" w:hAnsiTheme="majorEastAsia" w:eastAsiaTheme="majorEastAsia" w:cstheme="majorEastAsia"/>
          <w:i w:val="0"/>
          <w:iCs w:val="0"/>
          <w:caps w:val="0"/>
          <w:color w:val="000000"/>
          <w:spacing w:val="0"/>
          <w:sz w:val="44"/>
          <w:szCs w:val="44"/>
        </w:rPr>
        <w:t>云南省药品监督管理局现行有效行政规范性文件目录</w:t>
      </w:r>
      <w:r>
        <w:rPr>
          <w:rFonts w:hint="eastAsia" w:asciiTheme="majorEastAsia" w:hAnsiTheme="majorEastAsia" w:eastAsiaTheme="majorEastAsia" w:cstheme="majorEastAsia"/>
          <w:i w:val="0"/>
          <w:iCs w:val="0"/>
          <w:caps w:val="0"/>
          <w:color w:val="000000"/>
          <w:spacing w:val="0"/>
          <w:sz w:val="21"/>
          <w:szCs w:val="21"/>
        </w:rPr>
        <w:t> </w:t>
      </w:r>
    </w:p>
    <w:p w14:paraId="4DBF114A">
      <w:pPr>
        <w:pStyle w:val="4"/>
        <w:keepNext w:val="0"/>
        <w:keepLines w:val="0"/>
        <w:widowControl/>
        <w:suppressLineNumbers w:val="0"/>
        <w:spacing w:before="0" w:beforeAutospacing="0" w:after="0" w:afterAutospacing="0"/>
        <w:ind w:left="0" w:right="0" w:firstLine="0"/>
        <w:jc w:val="center"/>
        <w:rPr>
          <w:rFonts w:ascii="Calibri" w:hAnsi="Calibri" w:eastAsia="宋体" w:cs="Calibri"/>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32"/>
          <w:szCs w:val="32"/>
        </w:rPr>
        <w:t>（截至2025年</w:t>
      </w:r>
      <w:r>
        <w:rPr>
          <w:rFonts w:hint="eastAsia" w:ascii="仿宋_GB2312" w:hAnsi="仿宋_GB2312" w:eastAsia="仿宋_GB2312" w:cs="仿宋_GB2312"/>
          <w:i w:val="0"/>
          <w:iCs w:val="0"/>
          <w:caps w:val="0"/>
          <w:color w:val="000000"/>
          <w:spacing w:val="0"/>
          <w:sz w:val="32"/>
          <w:szCs w:val="32"/>
          <w:lang w:val="en-US" w:eastAsia="zh-CN"/>
        </w:rPr>
        <w:t>8</w:t>
      </w:r>
      <w:r>
        <w:rPr>
          <w:rFonts w:hint="eastAsia" w:ascii="仿宋_GB2312" w:hAnsi="仿宋_GB2312" w:eastAsia="仿宋_GB2312" w:cs="仿宋_GB2312"/>
          <w:i w:val="0"/>
          <w:iCs w:val="0"/>
          <w:caps w:val="0"/>
          <w:color w:val="000000"/>
          <w:spacing w:val="0"/>
          <w:sz w:val="32"/>
          <w:szCs w:val="32"/>
        </w:rPr>
        <w:t>月</w:t>
      </w:r>
      <w:r>
        <w:rPr>
          <w:rFonts w:hint="eastAsia" w:ascii="仿宋_GB2312" w:hAnsi="仿宋_GB2312" w:eastAsia="仿宋_GB2312" w:cs="仿宋_GB2312"/>
          <w:i w:val="0"/>
          <w:iCs w:val="0"/>
          <w:caps w:val="0"/>
          <w:color w:val="000000"/>
          <w:spacing w:val="0"/>
          <w:sz w:val="32"/>
          <w:szCs w:val="32"/>
          <w:lang w:val="en-US" w:eastAsia="zh-CN"/>
        </w:rPr>
        <w:t>8</w:t>
      </w:r>
      <w:r>
        <w:rPr>
          <w:rFonts w:hint="eastAsia" w:ascii="仿宋_GB2312" w:hAnsi="仿宋_GB2312" w:eastAsia="仿宋_GB2312" w:cs="仿宋_GB2312"/>
          <w:i w:val="0"/>
          <w:iCs w:val="0"/>
          <w:caps w:val="0"/>
          <w:color w:val="000000"/>
          <w:spacing w:val="0"/>
          <w:sz w:val="32"/>
          <w:szCs w:val="32"/>
        </w:rPr>
        <w:t>日）</w:t>
      </w:r>
    </w:p>
    <w:p w14:paraId="08BC9BA6">
      <w:pPr>
        <w:pStyle w:val="4"/>
        <w:keepNext w:val="0"/>
        <w:keepLines w:val="0"/>
        <w:widowControl/>
        <w:suppressLineNumbers w:val="0"/>
        <w:spacing w:before="0" w:beforeAutospacing="0" w:after="0" w:afterAutospacing="0"/>
        <w:ind w:left="0" w:right="0" w:firstLine="0"/>
        <w:jc w:val="both"/>
        <w:rPr>
          <w:rFonts w:hint="eastAsia" w:ascii="Calibri" w:hAnsi="Calibri" w:eastAsia="宋体" w:cs="Calibri"/>
          <w:i w:val="0"/>
          <w:iCs w:val="0"/>
          <w:caps w:val="0"/>
          <w:color w:val="000000"/>
          <w:spacing w:val="0"/>
          <w:sz w:val="21"/>
          <w:szCs w:val="21"/>
        </w:rPr>
      </w:pPr>
    </w:p>
    <w:tbl>
      <w:tblPr>
        <w:tblStyle w:val="5"/>
        <w:tblW w:w="841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15" w:type="dxa"/>
          <w:left w:w="15" w:type="dxa"/>
          <w:bottom w:w="15" w:type="dxa"/>
          <w:right w:w="15" w:type="dxa"/>
        </w:tblCellMar>
      </w:tblPr>
      <w:tblGrid>
        <w:gridCol w:w="655"/>
        <w:gridCol w:w="7760"/>
      </w:tblGrid>
      <w:tr w14:paraId="2B8A2F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12D622D">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b/>
                <w:bCs w:val="0"/>
                <w:color w:val="auto"/>
                <w:kern w:val="0"/>
                <w:sz w:val="21"/>
                <w:szCs w:val="21"/>
              </w:rPr>
              <w:t>序号</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36DF6C7">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b/>
                <w:bCs w:val="0"/>
                <w:color w:val="auto"/>
                <w:kern w:val="0"/>
                <w:sz w:val="21"/>
                <w:szCs w:val="21"/>
              </w:rPr>
              <w:t>行政规范性文件名称</w:t>
            </w:r>
          </w:p>
        </w:tc>
      </w:tr>
      <w:tr w14:paraId="6715C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2FC3510">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kern w:val="0"/>
                <w:sz w:val="21"/>
                <w:szCs w:val="21"/>
              </w:rPr>
              <w:t>1</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F452618">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云南省药品监督管理局关于进一步促进药品零售企业健康发展的意见</w:t>
            </w:r>
          </w:p>
        </w:tc>
      </w:tr>
      <w:tr w14:paraId="787862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C40460F">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kern w:val="0"/>
                <w:sz w:val="21"/>
                <w:szCs w:val="21"/>
              </w:rPr>
              <w:t>2</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6F37575">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云南省医疗机构制剂注册管理实施细则</w:t>
            </w:r>
          </w:p>
        </w:tc>
      </w:tr>
      <w:tr w14:paraId="3349D0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CBAED20">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kern w:val="0"/>
                <w:sz w:val="21"/>
                <w:szCs w:val="21"/>
              </w:rPr>
              <w:t>3</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38F28C5">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云南省医疗机构应用传统工艺配制中药（民族药）制剂备案实施细则</w:t>
            </w:r>
          </w:p>
        </w:tc>
      </w:tr>
      <w:tr w14:paraId="652548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14ABA43">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color w:val="auto"/>
                <w:kern w:val="0"/>
                <w:sz w:val="21"/>
                <w:szCs w:val="21"/>
              </w:rPr>
              <w:t>4</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A50A107">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云南省医疗机构制剂不良反应报告和监测管理办法（试行）</w:t>
            </w:r>
          </w:p>
        </w:tc>
      </w:tr>
      <w:tr w14:paraId="14AE53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CFFE360">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DC74D79">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云南省非临床安全性评价研究机构监督管理细则</w:t>
            </w:r>
          </w:p>
        </w:tc>
      </w:tr>
      <w:tr w14:paraId="2BCB7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8AEBD55">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05B1877">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云南省药物临床试验机构监督管理细则</w:t>
            </w:r>
          </w:p>
        </w:tc>
      </w:tr>
      <w:tr w14:paraId="4961FA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EE9A537">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A7D3CB6">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云南省医疗器械生产风险分级监管实施细则（试行）</w:t>
            </w:r>
          </w:p>
        </w:tc>
      </w:tr>
      <w:tr w14:paraId="03C317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952FAB4">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default" w:ascii="宋体" w:hAnsi="宋体" w:eastAsia="宋体" w:cs="宋体"/>
                <w:color w:val="auto"/>
                <w:kern w:val="0"/>
                <w:sz w:val="21"/>
                <w:szCs w:val="21"/>
              </w:rPr>
              <w:t>8</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51A663F">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云南省药品监督管理局药品安全责任约谈办法</w:t>
            </w:r>
          </w:p>
        </w:tc>
      </w:tr>
      <w:tr w14:paraId="3ABD01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2B1F99A">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default" w:ascii="宋体" w:hAnsi="宋体" w:eastAsia="宋体" w:cs="宋体"/>
                <w:color w:val="auto"/>
                <w:kern w:val="0"/>
                <w:sz w:val="21"/>
                <w:szCs w:val="21"/>
              </w:rPr>
              <w:t>9</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5BB1BA4">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云南省中药标准管理办法（试行）</w:t>
            </w:r>
          </w:p>
        </w:tc>
      </w:tr>
      <w:tr w14:paraId="236034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FEC06EC">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default" w:ascii="宋体" w:hAnsi="宋体" w:eastAsia="宋体" w:cs="宋体"/>
                <w:color w:val="auto"/>
                <w:kern w:val="0"/>
                <w:sz w:val="21"/>
                <w:szCs w:val="21"/>
              </w:rPr>
              <w:t>10</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86C3116">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云南省药品批发企业开展多仓协同业务管理办法（试行）</w:t>
            </w:r>
          </w:p>
        </w:tc>
      </w:tr>
      <w:tr w14:paraId="0CBCE7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0A8C062">
            <w:pPr>
              <w:pStyle w:val="4"/>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3281225">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云南省药品监管行政处罚裁量基准2024年版（试行）</w:t>
            </w:r>
          </w:p>
        </w:tc>
      </w:tr>
      <w:tr w14:paraId="7BE3C9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6BE01B9">
            <w:pPr>
              <w:pStyle w:val="4"/>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12</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F94A0EF">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云南省药品网络销售监督管理办法实施细则（试行）</w:t>
            </w:r>
          </w:p>
        </w:tc>
      </w:tr>
      <w:tr w14:paraId="27894F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67F6C96">
            <w:pPr>
              <w:pStyle w:val="4"/>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13</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9AFFA6C">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云南省药品经营和使用质量监督管理办法实施细则（试行）</w:t>
            </w:r>
          </w:p>
        </w:tc>
      </w:tr>
      <w:tr w14:paraId="02C4B6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A4F470C">
            <w:pPr>
              <w:pStyle w:val="4"/>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14</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29B4E7A">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云南省药品委托储存运输管理有关规定（试行）</w:t>
            </w:r>
          </w:p>
        </w:tc>
      </w:tr>
      <w:tr w14:paraId="250F1A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01C5657">
            <w:pPr>
              <w:pStyle w:val="4"/>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15</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6CCC09A">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云南省药品现代物流有关规定（试行）</w:t>
            </w:r>
          </w:p>
        </w:tc>
      </w:tr>
      <w:tr w14:paraId="18D20F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18A3254">
            <w:pPr>
              <w:pStyle w:val="4"/>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16</w:t>
            </w:r>
          </w:p>
        </w:tc>
        <w:tc>
          <w:tcPr>
            <w:tcW w:w="776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13091FE">
            <w:pPr>
              <w:pStyle w:val="4"/>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云南省药品监管领域行政违法行为首违不罚清单（试行）</w:t>
            </w:r>
          </w:p>
        </w:tc>
      </w:tr>
    </w:tbl>
    <w:p w14:paraId="6BC77180">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sz w:val="21"/>
          <w:szCs w:val="21"/>
        </w:rPr>
        <w:t> </w:t>
      </w:r>
    </w:p>
    <w:p w14:paraId="4E38BE2F">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0E32CCDC">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350259C9">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1AEC5586">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75883678">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395913C0">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06A66BC9">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436D1587">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4FE0ED0D">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p>
    <w:p w14:paraId="3DF45709">
      <w:pPr>
        <w:pStyle w:val="4"/>
        <w:keepNext w:val="0"/>
        <w:keepLines w:val="0"/>
        <w:widowControl/>
        <w:suppressLineNumbers w:val="0"/>
        <w:spacing w:before="0" w:beforeAutospacing="0" w:after="0" w:afterAutospacing="0"/>
        <w:ind w:left="0" w:right="0" w:firstLine="0"/>
        <w:jc w:val="both"/>
        <w:rPr>
          <w:rFonts w:hint="eastAsia" w:ascii="宋体" w:hAnsi="宋体" w:eastAsia="宋体" w:cs="宋体"/>
          <w:i w:val="0"/>
          <w:iCs w:val="0"/>
          <w:caps w:val="0"/>
          <w:color w:val="000000"/>
          <w:spacing w:val="0"/>
          <w:sz w:val="18"/>
          <w:szCs w:val="18"/>
        </w:rPr>
      </w:pPr>
      <w:bookmarkStart w:id="0" w:name="_GoBack"/>
      <w:bookmarkEnd w:id="0"/>
    </w:p>
    <w:p w14:paraId="17AFCFA4">
      <w:pPr>
        <w:pStyle w:val="4"/>
        <w:keepNext w:val="0"/>
        <w:keepLines w:val="0"/>
        <w:widowControl/>
        <w:suppressLineNumbers w:val="0"/>
        <w:spacing w:before="0" w:beforeAutospacing="0" w:after="0" w:afterAutospacing="0"/>
        <w:ind w:left="0" w:right="0" w:firstLine="0"/>
        <w:jc w:val="center"/>
        <w:rPr>
          <w:rFonts w:hint="eastAsia" w:ascii="宋体" w:hAnsi="宋体" w:eastAsia="宋体" w:cs="宋体"/>
          <w:i w:val="0"/>
          <w:iCs w:val="0"/>
          <w:caps w:val="0"/>
          <w:color w:val="000000"/>
          <w:spacing w:val="0"/>
          <w:sz w:val="18"/>
          <w:szCs w:val="18"/>
        </w:rPr>
      </w:pPr>
      <w:r>
        <w:rPr>
          <w:rFonts w:hint="eastAsia" w:asciiTheme="majorEastAsia" w:hAnsiTheme="majorEastAsia" w:eastAsiaTheme="majorEastAsia" w:cstheme="majorEastAsia"/>
          <w:i w:val="0"/>
          <w:iCs w:val="0"/>
          <w:caps w:val="0"/>
          <w:color w:val="000000"/>
          <w:spacing w:val="0"/>
          <w:sz w:val="44"/>
          <w:szCs w:val="44"/>
        </w:rPr>
        <w:t>云南省药品监督管理局废止或已失效行政规范性文件目录</w:t>
      </w:r>
    </w:p>
    <w:p w14:paraId="1D8F5880">
      <w:pPr>
        <w:pStyle w:val="4"/>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rPr>
        <w:t>（截至2024年8月</w:t>
      </w:r>
      <w:r>
        <w:rPr>
          <w:rFonts w:hint="eastAsia" w:ascii="仿宋_GB2312" w:hAnsi="仿宋_GB2312" w:eastAsia="仿宋_GB2312" w:cs="仿宋_GB2312"/>
          <w:i w:val="0"/>
          <w:iCs w:val="0"/>
          <w:caps w:val="0"/>
          <w:color w:val="000000"/>
          <w:spacing w:val="0"/>
          <w:sz w:val="32"/>
          <w:szCs w:val="32"/>
          <w:lang w:val="en-US" w:eastAsia="zh-CN"/>
        </w:rPr>
        <w:t>8</w:t>
      </w:r>
      <w:r>
        <w:rPr>
          <w:rFonts w:hint="eastAsia" w:ascii="仿宋_GB2312" w:hAnsi="仿宋_GB2312" w:eastAsia="仿宋_GB2312" w:cs="仿宋_GB2312"/>
          <w:i w:val="0"/>
          <w:iCs w:val="0"/>
          <w:caps w:val="0"/>
          <w:color w:val="000000"/>
          <w:spacing w:val="0"/>
          <w:sz w:val="32"/>
          <w:szCs w:val="32"/>
        </w:rPr>
        <w:t>日</w:t>
      </w:r>
      <w:r>
        <w:rPr>
          <w:rFonts w:hint="eastAsia" w:ascii="仿宋_GB2312" w:hAnsi="仿宋_GB2312" w:eastAsia="仿宋_GB2312" w:cs="仿宋_GB2312"/>
          <w:i w:val="0"/>
          <w:iCs w:val="0"/>
          <w:caps w:val="0"/>
          <w:color w:val="000000"/>
          <w:spacing w:val="0"/>
          <w:sz w:val="32"/>
          <w:szCs w:val="32"/>
          <w:lang w:eastAsia="zh-CN"/>
        </w:rPr>
        <w:t>）</w:t>
      </w:r>
    </w:p>
    <w:tbl>
      <w:tblPr>
        <w:tblStyle w:val="5"/>
        <w:tblW w:w="844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15" w:type="dxa"/>
          <w:left w:w="15" w:type="dxa"/>
          <w:bottom w:w="15" w:type="dxa"/>
          <w:right w:w="15" w:type="dxa"/>
        </w:tblCellMar>
      </w:tblPr>
      <w:tblGrid>
        <w:gridCol w:w="655"/>
        <w:gridCol w:w="7788"/>
      </w:tblGrid>
      <w:tr w14:paraId="205AB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D603639">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b/>
                <w:bCs w:val="0"/>
                <w:color w:val="auto"/>
                <w:kern w:val="0"/>
                <w:sz w:val="21"/>
                <w:szCs w:val="21"/>
              </w:rPr>
              <w:t>序号</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A534C64">
            <w:pPr>
              <w:pStyle w:val="4"/>
              <w:keepNext w:val="0"/>
              <w:keepLines w:val="0"/>
              <w:widowControl/>
              <w:suppressLineNumbers w:val="0"/>
              <w:spacing w:before="0" w:beforeAutospacing="0" w:after="0" w:afterAutospacing="0"/>
              <w:ind w:left="0" w:right="0"/>
              <w:jc w:val="center"/>
              <w:rPr>
                <w:color w:val="auto"/>
              </w:rPr>
            </w:pPr>
            <w:r>
              <w:rPr>
                <w:rFonts w:hint="eastAsia" w:ascii="宋体" w:hAnsi="宋体" w:eastAsia="宋体" w:cs="宋体"/>
                <w:b/>
                <w:bCs w:val="0"/>
                <w:color w:val="auto"/>
                <w:kern w:val="0"/>
                <w:sz w:val="21"/>
                <w:szCs w:val="21"/>
              </w:rPr>
              <w:t>行政规范性文件名称</w:t>
            </w:r>
          </w:p>
        </w:tc>
      </w:tr>
      <w:tr w14:paraId="6BA377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917B3F0">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1</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AEA40E6">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云南省中药饮片管理暂行办法</w:t>
            </w:r>
          </w:p>
        </w:tc>
      </w:tr>
      <w:tr w14:paraId="6C1D8C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98E740C">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2</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A474D0F">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云南省药品质量受权人制度（试行）</w:t>
            </w:r>
          </w:p>
        </w:tc>
      </w:tr>
      <w:tr w14:paraId="78E4FB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16D8357">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3</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41CF46E">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云南省食品药品安全黑名单管理办法</w:t>
            </w:r>
          </w:p>
        </w:tc>
      </w:tr>
      <w:tr w14:paraId="0EA530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6A8CCB37">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4</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2DD83D0">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云南省医疗器械注册人制度试点实施方案</w:t>
            </w:r>
          </w:p>
        </w:tc>
      </w:tr>
      <w:tr w14:paraId="36547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9F9D236">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5</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FDF8C6E">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云南省医疗机构应用传统工艺配制藏药制剂备案资料项目及技术要求</w:t>
            </w:r>
          </w:p>
        </w:tc>
      </w:tr>
      <w:tr w14:paraId="61AA0A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jc w:val="center"/>
        </w:trPr>
        <w:tc>
          <w:tcPr>
            <w:tcW w:w="65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0E011E0">
            <w:pPr>
              <w:pStyle w:val="4"/>
              <w:keepNext w:val="0"/>
              <w:keepLines w:val="0"/>
              <w:widowControl/>
              <w:suppressLineNumbers w:val="0"/>
              <w:spacing w:before="0" w:beforeAutospacing="0" w:after="0" w:afterAutospacing="0"/>
              <w:ind w:left="0" w:right="0"/>
              <w:jc w:val="both"/>
              <w:rPr>
                <w:color w:val="auto"/>
              </w:rPr>
            </w:pPr>
            <w:r>
              <w:rPr>
                <w:rFonts w:hint="default" w:ascii="Calibri" w:hAnsi="Calibri" w:eastAsia="宋体" w:cs="Calibri"/>
                <w:color w:val="auto"/>
                <w:kern w:val="0"/>
                <w:sz w:val="21"/>
                <w:szCs w:val="21"/>
              </w:rPr>
              <w:t>6</w:t>
            </w:r>
          </w:p>
        </w:tc>
        <w:tc>
          <w:tcPr>
            <w:tcW w:w="778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25B866A">
            <w:pPr>
              <w:pStyle w:val="4"/>
              <w:keepNext w:val="0"/>
              <w:keepLines w:val="0"/>
              <w:widowControl/>
              <w:suppressLineNumbers w:val="0"/>
              <w:spacing w:before="0" w:beforeAutospacing="0" w:after="0" w:afterAutospacing="0"/>
              <w:ind w:left="0" w:right="0"/>
              <w:jc w:val="both"/>
              <w:rPr>
                <w:color w:val="auto"/>
              </w:rPr>
            </w:pPr>
            <w:r>
              <w:rPr>
                <w:rFonts w:hint="eastAsia" w:ascii="宋体" w:hAnsi="宋体" w:eastAsia="宋体" w:cs="宋体"/>
                <w:color w:val="auto"/>
                <w:kern w:val="0"/>
                <w:sz w:val="21"/>
                <w:szCs w:val="21"/>
              </w:rPr>
              <w:t>云南省食品药品行政执法没收物品管理办法（试行）</w:t>
            </w:r>
          </w:p>
        </w:tc>
      </w:tr>
    </w:tbl>
    <w:p w14:paraId="595EAF10"/>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DCAA6">
    <w:pPr>
      <w:pStyle w:val="2"/>
    </w:pPr>
  </w:p>
  <w:p w14:paraId="780115C1">
    <w:pPr>
      <w:pStyle w:val="2"/>
      <w:tabs>
        <w:tab w:val="left" w:pos="6536"/>
        <w:tab w:val="clear" w:pos="4153"/>
      </w:tabs>
      <w:rPr>
        <w:rFonts w:hint="eastAsia" w:eastAsiaTheme="minor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4903470</wp:posOffset>
              </wp:positionH>
              <wp:positionV relativeFrom="paragraph">
                <wp:posOffset>118110</wp:posOffset>
              </wp:positionV>
              <wp:extent cx="302895" cy="1676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02895" cy="1676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605FB">
                          <w:pPr>
                            <w:pStyle w:val="2"/>
                            <w:rPr>
                              <w:rFonts w:hint="default" w:asciiTheme="minorAscii" w:hAnsiTheme="minorAscii"/>
                              <w:sz w:val="24"/>
                            </w:rPr>
                          </w:pPr>
                          <w:r>
                            <w:rPr>
                              <w:rFonts w:hint="default" w:asciiTheme="minorAscii" w:hAnsiTheme="minorAscii"/>
                              <w:sz w:val="24"/>
                            </w:rPr>
                            <w:fldChar w:fldCharType="begin"/>
                          </w:r>
                          <w:r>
                            <w:rPr>
                              <w:rFonts w:hint="default" w:asciiTheme="minorAscii" w:hAnsiTheme="minorAscii"/>
                              <w:sz w:val="24"/>
                            </w:rPr>
                            <w:instrText xml:space="preserve"> PAGE  \* MERGEFORMAT </w:instrText>
                          </w:r>
                          <w:r>
                            <w:rPr>
                              <w:rFonts w:hint="default" w:asciiTheme="minorAscii" w:hAnsiTheme="minorAscii"/>
                              <w:sz w:val="24"/>
                            </w:rPr>
                            <w:fldChar w:fldCharType="separate"/>
                          </w:r>
                          <w:r>
                            <w:rPr>
                              <w:rFonts w:hint="default" w:asciiTheme="minorAscii" w:hAnsiTheme="minorAscii"/>
                              <w:sz w:val="24"/>
                            </w:rPr>
                            <w:t>1</w:t>
                          </w:r>
                          <w:r>
                            <w:rPr>
                              <w:rFonts w:hint="default" w:asciiTheme="minorAscii" w:hAnsiTheme="minorAscii"/>
                              <w:sz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6.1pt;margin-top:9.3pt;height:13.2pt;width:23.85pt;mso-position-horizontal-relative:margin;z-index:251660288;mso-width-relative:page;mso-height-relative:page;" filled="f" stroked="f" coordsize="21600,21600" o:gfxdata="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9S36ddgAAAAJAQAADwAAAAAAAAABACAAAAAiAAAAZHJzL2Rvd25y&#10;ZXYueG1sUEsBAhQAFAAAAAgAh07iQIJAd0U3AgAAYQQAAA4AAAAAAAAAAQAgAAAAJwEAAGRycy9l&#10;Mm9Eb2MueG1sUEsFBgAAAAAGAAYAWQEAANAFAAAAAA==&#10;">
              <v:fill on="f" focussize="0,0"/>
              <v:stroke on="f" weight="0.5pt"/>
              <v:imagedata o:title=""/>
              <o:lock v:ext="edit" aspectratio="f"/>
              <v:textbox inset="0mm,0mm,0mm,0mm">
                <w:txbxContent>
                  <w:p w14:paraId="098605FB">
                    <w:pPr>
                      <w:pStyle w:val="2"/>
                      <w:rPr>
                        <w:rFonts w:hint="default" w:asciiTheme="minorAscii" w:hAnsiTheme="minorAscii"/>
                        <w:sz w:val="24"/>
                      </w:rPr>
                    </w:pPr>
                    <w:r>
                      <w:rPr>
                        <w:rFonts w:hint="default" w:asciiTheme="minorAscii" w:hAnsiTheme="minorAscii"/>
                        <w:sz w:val="24"/>
                      </w:rPr>
                      <w:fldChar w:fldCharType="begin"/>
                    </w:r>
                    <w:r>
                      <w:rPr>
                        <w:rFonts w:hint="default" w:asciiTheme="minorAscii" w:hAnsiTheme="minorAscii"/>
                        <w:sz w:val="24"/>
                      </w:rPr>
                      <w:instrText xml:space="preserve"> PAGE  \* MERGEFORMAT </w:instrText>
                    </w:r>
                    <w:r>
                      <w:rPr>
                        <w:rFonts w:hint="default" w:asciiTheme="minorAscii" w:hAnsiTheme="minorAscii"/>
                        <w:sz w:val="24"/>
                      </w:rPr>
                      <w:fldChar w:fldCharType="separate"/>
                    </w:r>
                    <w:r>
                      <w:rPr>
                        <w:rFonts w:hint="default" w:asciiTheme="minorAscii" w:hAnsiTheme="minorAscii"/>
                        <w:sz w:val="24"/>
                      </w:rPr>
                      <w:t>1</w:t>
                    </w:r>
                    <w:r>
                      <w:rPr>
                        <w:rFonts w:hint="default" w:asciiTheme="minorAscii" w:hAnsiTheme="minorAscii"/>
                        <w:sz w:val="24"/>
                      </w:rPr>
                      <w:fldChar w:fldCharType="end"/>
                    </w:r>
                  </w:p>
                </w:txbxContent>
              </v:textbox>
            </v:shape>
          </w:pict>
        </mc:Fallback>
      </mc:AlternateContent>
    </w:r>
    <w:r>
      <w:rPr>
        <w:rFonts w:hint="eastAsia"/>
        <w:lang w:eastAsia="zh-CN"/>
      </w:rPr>
      <w:tab/>
    </w:r>
  </w:p>
  <w:p w14:paraId="479C9192">
    <w:pPr>
      <w:pStyle w:val="2"/>
    </w:pPr>
  </w:p>
  <w:p w14:paraId="1A587A0C">
    <w:pPr>
      <w:pStyle w:val="2"/>
    </w:pPr>
    <w:r>
      <w:rPr>
        <w:rFonts w:hint="eastAsia" w:ascii="宋体" w:hAnsi="宋体" w:eastAsia="宋体" w:cs="宋体"/>
        <w:b/>
        <w:bCs/>
        <w:color w:val="005192"/>
        <w:sz w:val="32"/>
      </w:rPr>
      <mc:AlternateContent>
        <mc:Choice Requires="wps">
          <w:drawing>
            <wp:anchor distT="0" distB="0" distL="114300" distR="114300" simplePos="0" relativeHeight="251661312" behindDoc="0" locked="0" layoutInCell="1" allowOverlap="1">
              <wp:simplePos x="0" y="0"/>
              <wp:positionH relativeFrom="column">
                <wp:posOffset>-194310</wp:posOffset>
              </wp:positionH>
              <wp:positionV relativeFrom="paragraph">
                <wp:posOffset>93980</wp:posOffset>
              </wp:positionV>
              <wp:extent cx="5620385" cy="0"/>
              <wp:effectExtent l="0" t="10795" r="18415" b="17780"/>
              <wp:wrapNone/>
              <wp:docPr id="5" name="直接连接符 5"/>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5.3pt;margin-top:7.4pt;height:0pt;width:442.55pt;z-index:251661312;mso-width-relative:page;mso-height-relative:page;" filled="f" stroked="t" coordsize="21600,21600" o:gfxdata="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SQhf&#10;1QAAAAkBAAAPAAAAAAAAAAEAIAAAACIAAABkcnMvZG93bnJldi54bWxQSwECFAAUAAAACACHTuJA&#10;QrcQc+sBAADAAwAADgAAAAAAAAABACAAAAAkAQAAZHJzL2Uyb0RvYy54bWxQSwUGAAAAAAYABgBZ&#10;AQAAgQUAAAAA&#10;">
              <v:fill on="f" focussize="0,0"/>
              <v:stroke weight="1.75pt" color="#005192" miterlimit="8" joinstyle="miter"/>
              <v:imagedata o:title=""/>
              <o:lock v:ext="edit" aspectratio="f"/>
            </v:line>
          </w:pict>
        </mc:Fallback>
      </mc:AlternateContent>
    </w:r>
  </w:p>
  <w:p w14:paraId="44D4C67E">
    <w:pPr>
      <w:pStyle w:val="2"/>
      <w:rPr>
        <w:rFonts w:hint="default" w:eastAsiaTheme="minorEastAsia"/>
        <w:lang w:val="en-US" w:eastAsia="zh-CN"/>
      </w:rPr>
    </w:pPr>
    <w:r>
      <w:rPr>
        <w:rFonts w:hint="eastAsia"/>
        <w:lang w:val="en-US" w:eastAsia="zh-CN"/>
      </w:rPr>
      <w:t xml:space="preserve">                                                  </w:t>
    </w:r>
    <w:r>
      <w:rPr>
        <w:rFonts w:hint="eastAsia" w:ascii="宋体" w:hAnsi="宋体" w:eastAsia="宋体" w:cs="宋体"/>
        <w:b/>
        <w:bCs/>
        <w:color w:val="005192"/>
        <w:sz w:val="28"/>
        <w:szCs w:val="44"/>
        <w:lang w:val="en-US" w:eastAsia="zh-CN"/>
      </w:rPr>
      <w:t>云南省药品监督管理局发布</w:t>
    </w:r>
    <w:r>
      <w:rPr>
        <w:rFonts w:hint="eastAsia"/>
        <w:lang w:val="en-US" w:eastAsia="zh-CN"/>
      </w:rPr>
      <w:t xml:space="preserve">                                                                                                </w:t>
    </w:r>
  </w:p>
  <w:p w14:paraId="49A1A35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D494B">
    <w:pPr>
      <w:pStyle w:val="3"/>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云南省药品监督管理局行政规范性文件</w:t>
    </w:r>
  </w:p>
  <w:p w14:paraId="2AE9E16E">
    <w:pPr>
      <w:pStyle w:val="3"/>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-177800</wp:posOffset>
              </wp:positionH>
              <wp:positionV relativeFrom="paragraph">
                <wp:posOffset>44450</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4pt;margin-top:3.5pt;height:0pt;width:442.55pt;z-index:251659264;mso-width-relative:page;mso-height-relative:page;" filled="f" stroked="t" coordsize="21600,21600" o:gfxdata="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bMcB7UAAAABwEAAA8AAAAAAAAAAQAgAAAAIgAAAGRycy9kb3ducmV2LnhtbFBLAQIU&#10;ABQAAAAIAIdO4kClIsuz9wEAAMsDAAAOAAAAAAAAAAEAIAAAACMBAABkcnMvZTJvRG9jLnhtbFBL&#10;BQYAAAAABgAGAFkBAACMBQAAAAA=&#10;">
              <v:fill on="f" focussize="0,0"/>
              <v:stroke weight="1.75pt" color="#005192" miterlimit="8" joinstyle="miter"/>
              <v:imagedata o:title=""/>
              <o:lock v:ext="edit" aspectratio="f"/>
            </v:line>
          </w:pict>
        </mc:Fallback>
      </mc:AlternateContent>
    </w:r>
  </w:p>
  <w:p w14:paraId="2230A11C">
    <w:pPr>
      <w:pStyle w:val="3"/>
    </w:pPr>
  </w:p>
  <w:p w14:paraId="6B5C6B9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kYmRkMTlhODRjYzgxNmY3YzliZTdjYjUzMGNkNjAifQ=="/>
  </w:docVars>
  <w:rsids>
    <w:rsidRoot w:val="5BB24E68"/>
    <w:rsid w:val="04BB3026"/>
    <w:rsid w:val="0F695084"/>
    <w:rsid w:val="1ACE47A6"/>
    <w:rsid w:val="5BB24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542</Words>
  <Characters>557</Characters>
  <Lines>0</Lines>
  <Paragraphs>0</Paragraphs>
  <TotalTime>0</TotalTime>
  <ScaleCrop>false</ScaleCrop>
  <LinksUpToDate>false</LinksUpToDate>
  <CharactersWithSpaces>559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2024-09-29T09:33:00Z</dcterms:created>
  <dc:creator>荣荣╮(╯▽╰)╭</dc:creator>
  <cp:lastModifiedBy>荣荣╮(╯▽╰)╭</cp:lastModifiedBy>
  <dcterms:modified xsi:type="dcterms:W3CDTF">2025-08-08T09:28:45Z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E77427959A9F48E3BE8FD36D34D36768_13</vt:lpwstr>
  </property>
  <property fmtid="{D5CDD505-2E9C-101B-9397-08002B2CF9AE}" pid="4" name="KSOTemplateDocerSaveRecord">
    <vt:lpwstr>eyJoZGlkIjoiNGM3NTczZjhhYmZkOGJjNDg2YjI0YzE2NjI0MzAzOWMiLCJ1c2VySWQiOiIyODg5MDI3MzUifQ==</vt:lpwstr>
  </property>
</Properties>
</file>